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76" w:rsidRDefault="00BE7176">
      <w:pPr>
        <w:outlineLvl w:val="0"/>
        <w:rPr>
          <w:rFonts w:ascii="Calibri" w:hAnsi="Calibri" w:cs="Arial"/>
          <w:b/>
          <w:color w:val="000000"/>
        </w:rPr>
      </w:pPr>
      <w:bookmarkStart w:id="0" w:name="_GoBack"/>
      <w:bookmarkEnd w:id="0"/>
      <w:r>
        <w:rPr>
          <w:rFonts w:ascii="Calibri" w:hAnsi="Calibri" w:cs="Arial"/>
          <w:b/>
          <w:color w:val="000000"/>
        </w:rPr>
        <w:t>Resolved:  On February 23, 2016, with a quorum present, the Corvallis RFPD Board adopted the following "Oregon Ethics Law Policy" found in ORS 244.  Board members present were:  Bob Conder, George Mears, Alex Polikoff, Steve Oda &amp; Frank Perdicaro</w:t>
      </w:r>
    </w:p>
    <w:p w:rsidR="00BE7176" w:rsidRDefault="00BE7176">
      <w:pPr>
        <w:jc w:val="center"/>
        <w:outlineLvl w:val="0"/>
        <w:rPr>
          <w:rFonts w:ascii="Calibri" w:hAnsi="Calibri" w:cs="Arial"/>
          <w:b/>
          <w:color w:val="000000"/>
        </w:rPr>
      </w:pPr>
    </w:p>
    <w:p w:rsidR="00BE7176" w:rsidRDefault="00BE7176">
      <w:pPr>
        <w:jc w:val="center"/>
        <w:outlineLvl w:val="0"/>
        <w:rPr>
          <w:rFonts w:ascii="Calibri" w:hAnsi="Calibri" w:cs="Arial"/>
          <w:b/>
          <w:color w:val="000000"/>
        </w:rPr>
      </w:pPr>
      <w:r>
        <w:rPr>
          <w:rFonts w:ascii="Calibri" w:hAnsi="Calibri" w:cs="Arial"/>
          <w:b/>
          <w:color w:val="000000"/>
        </w:rPr>
        <w:t>Oregon Ethics Law Policy</w:t>
      </w:r>
    </w:p>
    <w:p w:rsidR="00BE7176" w:rsidRDefault="00BE7176">
      <w:pPr>
        <w:jc w:val="center"/>
        <w:rPr>
          <w:rFonts w:ascii="Calibri" w:hAnsi="Calibri" w:cs="Arial"/>
          <w:color w:val="000000"/>
        </w:rPr>
      </w:pPr>
    </w:p>
    <w:p w:rsidR="00BE7176" w:rsidRDefault="00BE7176">
      <w:pPr>
        <w:outlineLvl w:val="0"/>
        <w:rPr>
          <w:rFonts w:ascii="Calibri" w:hAnsi="Calibri" w:cs="Arial"/>
          <w:b/>
          <w:color w:val="000000"/>
          <w:sz w:val="22"/>
          <w:szCs w:val="22"/>
        </w:rPr>
      </w:pPr>
      <w:r>
        <w:rPr>
          <w:rFonts w:ascii="Calibri" w:hAnsi="Calibri" w:cs="Arial"/>
          <w:b/>
          <w:color w:val="000000"/>
          <w:sz w:val="22"/>
          <w:szCs w:val="22"/>
        </w:rPr>
        <w:t>Overview</w:t>
      </w:r>
    </w:p>
    <w:p w:rsidR="00BE7176" w:rsidRDefault="00BE7176">
      <w:pPr>
        <w:spacing w:before="40"/>
        <w:outlineLvl w:val="0"/>
        <w:rPr>
          <w:rFonts w:ascii="Calibri" w:hAnsi="Calibri" w:cs="Arial"/>
          <w:sz w:val="22"/>
          <w:szCs w:val="22"/>
        </w:rPr>
      </w:pPr>
      <w:r>
        <w:rPr>
          <w:rFonts w:ascii="Calibri" w:hAnsi="Calibri" w:cs="Arial"/>
          <w:sz w:val="22"/>
          <w:szCs w:val="22"/>
        </w:rPr>
        <w:t>Oregon Government Ethics Law</w:t>
      </w:r>
    </w:p>
    <w:p w:rsidR="00BE7176" w:rsidRDefault="00BE7176">
      <w:pPr>
        <w:numPr>
          <w:ilvl w:val="0"/>
          <w:numId w:val="37"/>
        </w:numPr>
        <w:spacing w:before="40" w:after="40"/>
        <w:rPr>
          <w:rFonts w:ascii="Calibri" w:hAnsi="Calibri" w:cs="Arial"/>
          <w:b/>
          <w:bCs/>
          <w:sz w:val="22"/>
          <w:szCs w:val="22"/>
        </w:rPr>
      </w:pPr>
      <w:r>
        <w:rPr>
          <w:rFonts w:ascii="Calibri" w:hAnsi="Calibri" w:cs="Arial"/>
          <w:sz w:val="22"/>
          <w:szCs w:val="22"/>
        </w:rPr>
        <w:t xml:space="preserve">Applies to all elected and appointed officials, employees and volunteers </w:t>
      </w:r>
      <w:r w:rsidR="00211EF3">
        <w:rPr>
          <w:rFonts w:ascii="Calibri" w:hAnsi="Calibri" w:cs="Arial"/>
          <w:b/>
          <w:bCs/>
          <w:sz w:val="22"/>
          <w:szCs w:val="22"/>
        </w:rPr>
        <w:t>of the Corvallis Rural Fire Protection District</w:t>
      </w:r>
    </w:p>
    <w:p w:rsidR="00BE7176" w:rsidRDefault="00BE7176">
      <w:pPr>
        <w:numPr>
          <w:ilvl w:val="0"/>
          <w:numId w:val="37"/>
        </w:numPr>
        <w:spacing w:before="40" w:after="40"/>
        <w:rPr>
          <w:rFonts w:ascii="Calibri" w:hAnsi="Calibri" w:cs="Arial"/>
          <w:sz w:val="22"/>
          <w:szCs w:val="22"/>
        </w:rPr>
      </w:pPr>
      <w:r>
        <w:rPr>
          <w:rFonts w:ascii="Calibri" w:hAnsi="Calibri" w:cs="Arial"/>
          <w:sz w:val="22"/>
          <w:szCs w:val="22"/>
        </w:rPr>
        <w:t>Prohibits use of public office for financial gain</w:t>
      </w:r>
    </w:p>
    <w:p w:rsidR="00BE7176" w:rsidRDefault="00BE7176">
      <w:pPr>
        <w:numPr>
          <w:ilvl w:val="0"/>
          <w:numId w:val="37"/>
        </w:numPr>
        <w:spacing w:after="40"/>
        <w:rPr>
          <w:rFonts w:ascii="Calibri" w:hAnsi="Calibri" w:cs="Arial"/>
          <w:sz w:val="22"/>
          <w:szCs w:val="22"/>
        </w:rPr>
      </w:pPr>
      <w:r>
        <w:rPr>
          <w:rFonts w:ascii="Calibri" w:hAnsi="Calibri" w:cs="Arial"/>
          <w:sz w:val="22"/>
          <w:szCs w:val="22"/>
        </w:rPr>
        <w:t>Requires public disclosure of financial conflicts of interest</w:t>
      </w:r>
    </w:p>
    <w:p w:rsidR="00BE7176" w:rsidRDefault="00BE7176">
      <w:pPr>
        <w:numPr>
          <w:ilvl w:val="0"/>
          <w:numId w:val="37"/>
        </w:numPr>
        <w:spacing w:after="40"/>
        <w:rPr>
          <w:rFonts w:ascii="Calibri" w:hAnsi="Calibri" w:cs="Arial"/>
          <w:sz w:val="22"/>
          <w:szCs w:val="22"/>
        </w:rPr>
      </w:pPr>
      <w:r>
        <w:rPr>
          <w:rFonts w:ascii="Calibri" w:hAnsi="Calibri" w:cs="Arial"/>
          <w:sz w:val="22"/>
          <w:szCs w:val="22"/>
        </w:rPr>
        <w:t>Limits gifts that an official director may receive per calendar year</w:t>
      </w:r>
    </w:p>
    <w:p w:rsidR="00BE7176" w:rsidRDefault="00BE7176">
      <w:pPr>
        <w:numPr>
          <w:ilvl w:val="0"/>
          <w:numId w:val="37"/>
        </w:numPr>
        <w:spacing w:after="40"/>
        <w:rPr>
          <w:rFonts w:ascii="Calibri" w:hAnsi="Calibri" w:cs="Arial"/>
          <w:sz w:val="22"/>
          <w:szCs w:val="22"/>
        </w:rPr>
      </w:pPr>
      <w:r>
        <w:rPr>
          <w:rFonts w:ascii="Calibri" w:hAnsi="Calibri" w:cs="Arial"/>
          <w:sz w:val="22"/>
          <w:szCs w:val="22"/>
        </w:rPr>
        <w:t>Found in Oregon Revised Statutes, Chapter 244</w:t>
      </w:r>
      <w:r>
        <w:rPr>
          <w:rFonts w:ascii="Calibri" w:hAnsi="Calibri" w:cs="Arial"/>
          <w:sz w:val="22"/>
          <w:szCs w:val="22"/>
        </w:rPr>
        <w:br/>
      </w:r>
    </w:p>
    <w:p w:rsidR="00BE7176" w:rsidRDefault="00BE7176">
      <w:pPr>
        <w:spacing w:after="40"/>
        <w:outlineLvl w:val="0"/>
        <w:rPr>
          <w:rFonts w:ascii="Calibri" w:hAnsi="Calibri" w:cs="Arial"/>
          <w:b/>
          <w:sz w:val="22"/>
          <w:szCs w:val="22"/>
        </w:rPr>
      </w:pPr>
      <w:r>
        <w:rPr>
          <w:rFonts w:ascii="Calibri" w:hAnsi="Calibri" w:cs="Arial"/>
          <w:b/>
          <w:sz w:val="22"/>
          <w:szCs w:val="22"/>
        </w:rPr>
        <w:t>Purpose</w:t>
      </w:r>
    </w:p>
    <w:p w:rsidR="00BE7176" w:rsidRDefault="00BE7176">
      <w:pPr>
        <w:spacing w:after="40"/>
        <w:rPr>
          <w:rFonts w:ascii="Calibri" w:hAnsi="Calibri" w:cs="Arial"/>
          <w:sz w:val="22"/>
          <w:szCs w:val="22"/>
        </w:rPr>
      </w:pPr>
      <w:r>
        <w:rPr>
          <w:rFonts w:ascii="Calibri" w:hAnsi="Calibri" w:cs="Arial"/>
          <w:sz w:val="22"/>
          <w:szCs w:val="22"/>
        </w:rPr>
        <w:t xml:space="preserve">The purpose of this policy is to establish ethical standards of conduct for the </w:t>
      </w:r>
      <w:r>
        <w:rPr>
          <w:rFonts w:ascii="Calibri" w:hAnsi="Calibri" w:cs="Arial"/>
          <w:b/>
          <w:bCs/>
          <w:sz w:val="22"/>
          <w:szCs w:val="22"/>
        </w:rPr>
        <w:t>Corvallis R</w:t>
      </w:r>
      <w:r w:rsidR="00211EF3">
        <w:rPr>
          <w:rFonts w:ascii="Calibri" w:hAnsi="Calibri" w:cs="Arial"/>
          <w:b/>
          <w:bCs/>
          <w:sz w:val="22"/>
          <w:szCs w:val="22"/>
        </w:rPr>
        <w:t xml:space="preserve">ural Fire </w:t>
      </w:r>
      <w:r>
        <w:rPr>
          <w:rFonts w:ascii="Calibri" w:hAnsi="Calibri" w:cs="Arial"/>
          <w:b/>
          <w:bCs/>
          <w:sz w:val="22"/>
          <w:szCs w:val="22"/>
        </w:rPr>
        <w:t>P</w:t>
      </w:r>
      <w:r w:rsidR="00211EF3">
        <w:rPr>
          <w:rFonts w:ascii="Calibri" w:hAnsi="Calibri" w:cs="Arial"/>
          <w:b/>
          <w:bCs/>
          <w:sz w:val="22"/>
          <w:szCs w:val="22"/>
        </w:rPr>
        <w:t xml:space="preserve">rotection </w:t>
      </w:r>
      <w:r>
        <w:rPr>
          <w:rFonts w:ascii="Calibri" w:hAnsi="Calibri" w:cs="Arial"/>
          <w:b/>
          <w:bCs/>
          <w:sz w:val="22"/>
          <w:szCs w:val="22"/>
        </w:rPr>
        <w:t>D</w:t>
      </w:r>
      <w:r w:rsidR="00211EF3">
        <w:rPr>
          <w:rFonts w:ascii="Calibri" w:hAnsi="Calibri" w:cs="Arial"/>
          <w:b/>
          <w:bCs/>
          <w:sz w:val="22"/>
          <w:szCs w:val="22"/>
        </w:rPr>
        <w:t>istrict</w:t>
      </w:r>
      <w:r>
        <w:rPr>
          <w:rFonts w:ascii="Calibri" w:hAnsi="Calibri" w:cs="Arial"/>
          <w:sz w:val="22"/>
          <w:szCs w:val="22"/>
        </w:rPr>
        <w:t xml:space="preserve"> officials in accordance with Oregon Government Ethics law.</w:t>
      </w:r>
    </w:p>
    <w:p w:rsidR="00BE7176" w:rsidRDefault="00BE7176">
      <w:pPr>
        <w:rPr>
          <w:rFonts w:ascii="Arial" w:hAnsi="Arial" w:cs="Arial"/>
          <w:sz w:val="22"/>
          <w:szCs w:val="22"/>
        </w:rPr>
      </w:pPr>
    </w:p>
    <w:p w:rsidR="00BE7176" w:rsidRDefault="00BE7176">
      <w:pPr>
        <w:spacing w:line="264" w:lineRule="auto"/>
        <w:outlineLvl w:val="0"/>
        <w:rPr>
          <w:rFonts w:ascii="Calibri" w:hAnsi="Calibri" w:cs="Arial"/>
          <w:b/>
          <w:sz w:val="22"/>
          <w:szCs w:val="22"/>
        </w:rPr>
      </w:pPr>
      <w:r>
        <w:rPr>
          <w:rFonts w:ascii="Calibri" w:hAnsi="Calibri" w:cs="Arial"/>
          <w:b/>
          <w:sz w:val="22"/>
          <w:szCs w:val="22"/>
        </w:rPr>
        <w:t>Financial Gain</w:t>
      </w:r>
    </w:p>
    <w:p w:rsidR="00BE7176" w:rsidRDefault="00BE7176">
      <w:pPr>
        <w:pStyle w:val="Default"/>
        <w:jc w:val="both"/>
        <w:rPr>
          <w:rFonts w:ascii="Calibri" w:hAnsi="Calibri"/>
          <w:sz w:val="22"/>
          <w:szCs w:val="22"/>
        </w:rPr>
      </w:pPr>
      <w:r>
        <w:rPr>
          <w:rFonts w:ascii="Calibri" w:hAnsi="Calibri"/>
          <w:sz w:val="22"/>
          <w:szCs w:val="22"/>
        </w:rPr>
        <w:t xml:space="preserve">Each public official is prohibited from using the position as a public official to receive certain financial benefits if the opportunity for the financial benefit would not otherwise be available but for the position held by the public official.  In addition, each public official is prohibited from using or attempting to use the official position to obtain financial benefits for a relative or a member of the public official’s household, or for a business with which the public official, a relative, or a member of the public official’s household is associated. </w:t>
      </w:r>
    </w:p>
    <w:p w:rsidR="00BE7176" w:rsidRDefault="00BE7176">
      <w:pPr>
        <w:pStyle w:val="Default"/>
        <w:jc w:val="both"/>
        <w:rPr>
          <w:rFonts w:ascii="Calibri" w:hAnsi="Calibri"/>
          <w:sz w:val="22"/>
          <w:szCs w:val="22"/>
        </w:rPr>
      </w:pPr>
    </w:p>
    <w:p w:rsidR="00BE7176" w:rsidRDefault="00BE7176">
      <w:pPr>
        <w:rPr>
          <w:rFonts w:ascii="Calibri" w:hAnsi="Calibri" w:cs="Arial"/>
          <w:sz w:val="22"/>
          <w:szCs w:val="22"/>
        </w:rPr>
      </w:pPr>
      <w:r>
        <w:rPr>
          <w:rFonts w:ascii="Calibri" w:hAnsi="Calibri" w:cs="Arial"/>
          <w:sz w:val="22"/>
          <w:szCs w:val="22"/>
        </w:rPr>
        <w:t>The following is a list of financial benefits that may be received. These include:</w:t>
      </w:r>
    </w:p>
    <w:p w:rsidR="00BE7176" w:rsidRDefault="00BE7176">
      <w:pPr>
        <w:numPr>
          <w:ilvl w:val="0"/>
          <w:numId w:val="30"/>
        </w:numPr>
        <w:rPr>
          <w:rFonts w:ascii="Calibri" w:hAnsi="Calibri" w:cs="Arial"/>
          <w:sz w:val="22"/>
          <w:szCs w:val="22"/>
        </w:rPr>
      </w:pPr>
      <w:r>
        <w:rPr>
          <w:rFonts w:ascii="Calibri" w:hAnsi="Calibri" w:cs="Arial"/>
          <w:sz w:val="22"/>
          <w:szCs w:val="22"/>
        </w:rPr>
        <w:t>Official compensation</w:t>
      </w:r>
    </w:p>
    <w:p w:rsidR="00BE7176" w:rsidRDefault="00BE7176">
      <w:pPr>
        <w:numPr>
          <w:ilvl w:val="0"/>
          <w:numId w:val="30"/>
        </w:numPr>
        <w:rPr>
          <w:rFonts w:ascii="Calibri" w:hAnsi="Calibri" w:cs="Arial"/>
          <w:sz w:val="22"/>
          <w:szCs w:val="22"/>
        </w:rPr>
      </w:pPr>
      <w:r>
        <w:rPr>
          <w:rFonts w:ascii="Calibri" w:hAnsi="Calibri" w:cs="Arial"/>
          <w:sz w:val="22"/>
          <w:szCs w:val="22"/>
        </w:rPr>
        <w:t>Reimbursement of expenses</w:t>
      </w:r>
    </w:p>
    <w:p w:rsidR="00BE7176" w:rsidRDefault="00BE7176">
      <w:pPr>
        <w:numPr>
          <w:ilvl w:val="0"/>
          <w:numId w:val="30"/>
        </w:numPr>
        <w:rPr>
          <w:rFonts w:ascii="Calibri" w:hAnsi="Calibri" w:cs="Arial"/>
          <w:sz w:val="22"/>
          <w:szCs w:val="22"/>
        </w:rPr>
      </w:pPr>
      <w:r>
        <w:rPr>
          <w:rFonts w:ascii="Calibri" w:hAnsi="Calibri" w:cs="Arial"/>
          <w:sz w:val="22"/>
          <w:szCs w:val="22"/>
        </w:rPr>
        <w:t>Honorarium</w:t>
      </w:r>
    </w:p>
    <w:p w:rsidR="00BE7176" w:rsidRDefault="00BE7176">
      <w:pPr>
        <w:numPr>
          <w:ilvl w:val="0"/>
          <w:numId w:val="30"/>
        </w:numPr>
        <w:rPr>
          <w:rFonts w:ascii="Calibri" w:hAnsi="Calibri" w:cs="Arial"/>
          <w:sz w:val="22"/>
          <w:szCs w:val="22"/>
        </w:rPr>
      </w:pPr>
      <w:r>
        <w:rPr>
          <w:rFonts w:ascii="Calibri" w:hAnsi="Calibri" w:cs="Arial"/>
          <w:sz w:val="22"/>
          <w:szCs w:val="22"/>
        </w:rPr>
        <w:t xml:space="preserve">Unsolicited awards for professional achievement </w:t>
      </w:r>
    </w:p>
    <w:p w:rsidR="00BE7176" w:rsidRDefault="00BE7176">
      <w:pPr>
        <w:numPr>
          <w:ilvl w:val="0"/>
          <w:numId w:val="30"/>
        </w:numPr>
        <w:rPr>
          <w:rFonts w:ascii="Calibri" w:hAnsi="Calibri" w:cs="Arial"/>
          <w:sz w:val="22"/>
          <w:szCs w:val="22"/>
        </w:rPr>
      </w:pPr>
      <w:r>
        <w:rPr>
          <w:rFonts w:ascii="Calibri" w:hAnsi="Calibri" w:cs="Arial"/>
          <w:sz w:val="22"/>
          <w:szCs w:val="22"/>
        </w:rPr>
        <w:t>Some gifts</w:t>
      </w:r>
    </w:p>
    <w:p w:rsidR="00BE7176" w:rsidRDefault="00BE7176">
      <w:pPr>
        <w:pStyle w:val="Default"/>
        <w:jc w:val="both"/>
        <w:rPr>
          <w:rFonts w:ascii="Calibri" w:hAnsi="Calibri"/>
          <w:sz w:val="22"/>
          <w:szCs w:val="22"/>
        </w:rPr>
      </w:pPr>
    </w:p>
    <w:p w:rsidR="00BE7176" w:rsidRDefault="00BE7176">
      <w:pPr>
        <w:spacing w:line="264" w:lineRule="auto"/>
        <w:outlineLvl w:val="0"/>
        <w:rPr>
          <w:rFonts w:ascii="Calibri" w:eastAsia="Batang" w:hAnsi="Calibri" w:cs="Arial"/>
          <w:b/>
          <w:sz w:val="22"/>
          <w:szCs w:val="22"/>
        </w:rPr>
      </w:pPr>
      <w:r>
        <w:rPr>
          <w:rFonts w:ascii="Calibri" w:eastAsia="Batang" w:hAnsi="Calibri" w:cs="Arial"/>
          <w:b/>
          <w:sz w:val="22"/>
          <w:szCs w:val="22"/>
        </w:rPr>
        <w:t>Gifts</w:t>
      </w:r>
    </w:p>
    <w:p w:rsidR="00BE7176" w:rsidRDefault="00BE7176">
      <w:pPr>
        <w:spacing w:line="264" w:lineRule="auto"/>
        <w:rPr>
          <w:rFonts w:ascii="Calibri" w:eastAsia="Batang" w:hAnsi="Calibri" w:cs="Arial"/>
          <w:sz w:val="22"/>
          <w:szCs w:val="22"/>
        </w:rPr>
      </w:pPr>
      <w:r>
        <w:rPr>
          <w:rFonts w:ascii="Calibri" w:eastAsia="Batang" w:hAnsi="Calibri" w:cs="Arial"/>
          <w:sz w:val="22"/>
          <w:szCs w:val="22"/>
        </w:rPr>
        <w:t>No public official shall solicit or receive any gift(s) with a total value of more than $50 from any single source who could reasonably be known to have a financial interest in the official actions of that public official. A gift is defined as something of value given to a public official, for which the official does not pay an equal value. Gifts of entertainment are included in the $50 gift limit.</w:t>
      </w:r>
    </w:p>
    <w:p w:rsidR="00BE7176" w:rsidRDefault="00BE7176">
      <w:pPr>
        <w:spacing w:line="264" w:lineRule="auto"/>
        <w:rPr>
          <w:rFonts w:ascii="Calibri" w:eastAsia="Batang" w:hAnsi="Calibri" w:cs="Arial"/>
          <w:sz w:val="22"/>
          <w:szCs w:val="22"/>
        </w:rPr>
      </w:pPr>
    </w:p>
    <w:p w:rsidR="00BE7176" w:rsidRDefault="00BE7176">
      <w:pPr>
        <w:spacing w:line="264" w:lineRule="auto"/>
        <w:rPr>
          <w:rFonts w:ascii="Calibri" w:eastAsia="Batang" w:hAnsi="Calibri" w:cs="Arial"/>
          <w:sz w:val="22"/>
          <w:szCs w:val="22"/>
        </w:rPr>
      </w:pPr>
      <w:r>
        <w:rPr>
          <w:rFonts w:ascii="Calibri" w:eastAsia="Batang" w:hAnsi="Calibri" w:cs="Arial"/>
          <w:sz w:val="22"/>
          <w:szCs w:val="22"/>
        </w:rPr>
        <w:t>This does not mean that an official cannot receive any gifts. The law only restricts gifts from sources that have an administrative or legislative interest in the public official’s actions, and does allow the public official to receive up to $50 worth of gifts from each source. In addition, unlimited gifts may be accepted from a source that does not have a legislative or administrative interest in the public official, and the public official may accept unlimited gifts from specified relatives. </w:t>
      </w:r>
    </w:p>
    <w:p w:rsidR="00BE7176" w:rsidRDefault="00BE7176">
      <w:pPr>
        <w:spacing w:line="264" w:lineRule="auto"/>
        <w:rPr>
          <w:rFonts w:ascii="Calibri" w:eastAsia="Batang" w:hAnsi="Calibri" w:cs="Arial"/>
          <w:b/>
          <w:sz w:val="22"/>
          <w:szCs w:val="22"/>
        </w:rPr>
      </w:pPr>
    </w:p>
    <w:p w:rsidR="00BE7176" w:rsidRDefault="00BE7176">
      <w:pPr>
        <w:spacing w:line="264" w:lineRule="auto"/>
        <w:outlineLvl w:val="0"/>
        <w:rPr>
          <w:rFonts w:ascii="Calibri" w:eastAsia="Batang" w:hAnsi="Calibri" w:cs="Arial"/>
          <w:b/>
          <w:sz w:val="22"/>
          <w:szCs w:val="22"/>
        </w:rPr>
      </w:pPr>
      <w:r>
        <w:rPr>
          <w:rFonts w:ascii="Calibri" w:eastAsia="Batang" w:hAnsi="Calibri" w:cs="Arial"/>
          <w:b/>
          <w:sz w:val="22"/>
          <w:szCs w:val="22"/>
        </w:rPr>
        <w:t xml:space="preserve">Conflict of Interest </w:t>
      </w:r>
    </w:p>
    <w:p w:rsidR="00BE7176" w:rsidRDefault="00BE7176">
      <w:pPr>
        <w:pStyle w:val="Default"/>
        <w:jc w:val="both"/>
        <w:rPr>
          <w:rFonts w:ascii="Calibri" w:hAnsi="Calibri"/>
          <w:sz w:val="22"/>
          <w:szCs w:val="22"/>
        </w:rPr>
      </w:pPr>
      <w:r>
        <w:rPr>
          <w:rFonts w:ascii="Calibri" w:hAnsi="Calibri"/>
          <w:sz w:val="22"/>
          <w:szCs w:val="22"/>
        </w:rPr>
        <w:t xml:space="preserve">Oregon Government Ethics law identifies and defines two types of conflicts of interest: actual conflict of interest and potential conflict of interest. </w:t>
      </w:r>
    </w:p>
    <w:p w:rsidR="00BE7176" w:rsidRDefault="00BE7176">
      <w:pPr>
        <w:pStyle w:val="Default"/>
        <w:jc w:val="both"/>
        <w:rPr>
          <w:rFonts w:ascii="Calibri" w:hAnsi="Calibri"/>
          <w:sz w:val="22"/>
          <w:szCs w:val="22"/>
        </w:rPr>
      </w:pPr>
    </w:p>
    <w:p w:rsidR="00BE7176" w:rsidRDefault="00BE7176">
      <w:pPr>
        <w:pStyle w:val="Default"/>
        <w:jc w:val="both"/>
        <w:rPr>
          <w:rFonts w:ascii="Calibri" w:hAnsi="Calibri"/>
          <w:bCs/>
          <w:sz w:val="22"/>
          <w:szCs w:val="22"/>
        </w:rPr>
      </w:pPr>
      <w:r>
        <w:rPr>
          <w:rFonts w:ascii="Calibri" w:hAnsi="Calibri"/>
          <w:bCs/>
          <w:sz w:val="22"/>
          <w:szCs w:val="22"/>
        </w:rPr>
        <w:t xml:space="preserve">The difference between an actual conflict of interest and a potential conflict of interest is determined by the words “would” and “could.” </w:t>
      </w:r>
    </w:p>
    <w:p w:rsidR="00BE7176" w:rsidRDefault="00BE7176">
      <w:pPr>
        <w:pStyle w:val="Default"/>
        <w:jc w:val="both"/>
        <w:rPr>
          <w:rFonts w:ascii="Calibri" w:hAnsi="Calibri"/>
          <w:bCs/>
          <w:sz w:val="22"/>
          <w:szCs w:val="22"/>
        </w:rPr>
      </w:pPr>
    </w:p>
    <w:p w:rsidR="00BE7176" w:rsidRDefault="00BE7176">
      <w:pPr>
        <w:pStyle w:val="Default"/>
        <w:jc w:val="both"/>
        <w:rPr>
          <w:rFonts w:ascii="Calibri" w:hAnsi="Calibri"/>
          <w:sz w:val="22"/>
          <w:szCs w:val="22"/>
        </w:rPr>
      </w:pPr>
      <w:r>
        <w:rPr>
          <w:rFonts w:ascii="Calibri" w:hAnsi="Calibri"/>
          <w:sz w:val="22"/>
          <w:szCs w:val="22"/>
        </w:rPr>
        <w:t xml:space="preserve">A public official is met with an </w:t>
      </w:r>
      <w:r>
        <w:rPr>
          <w:rFonts w:ascii="Calibri" w:hAnsi="Calibri"/>
          <w:b/>
          <w:bCs/>
          <w:sz w:val="22"/>
          <w:szCs w:val="22"/>
        </w:rPr>
        <w:t xml:space="preserve">actual </w:t>
      </w:r>
      <w:r>
        <w:rPr>
          <w:rFonts w:ascii="Calibri" w:hAnsi="Calibri"/>
          <w:sz w:val="22"/>
          <w:szCs w:val="22"/>
        </w:rPr>
        <w:t xml:space="preserve">conflict of interest when the public official participates in action that </w:t>
      </w:r>
      <w:r>
        <w:rPr>
          <w:rFonts w:ascii="Calibri" w:hAnsi="Calibri"/>
          <w:b/>
          <w:bCs/>
          <w:sz w:val="22"/>
          <w:szCs w:val="22"/>
        </w:rPr>
        <w:t xml:space="preserve">would </w:t>
      </w:r>
      <w:r>
        <w:rPr>
          <w:rFonts w:ascii="Calibri" w:hAnsi="Calibri"/>
          <w:sz w:val="22"/>
          <w:szCs w:val="22"/>
        </w:rPr>
        <w:t xml:space="preserve">affect the financial interest of the official, the official’s relative or a business with which the official or a relative of the official is associated. </w:t>
      </w:r>
    </w:p>
    <w:p w:rsidR="00BE7176" w:rsidRDefault="00BE7176">
      <w:pPr>
        <w:pStyle w:val="Default"/>
        <w:jc w:val="both"/>
        <w:rPr>
          <w:rFonts w:ascii="Calibri" w:hAnsi="Calibri"/>
          <w:sz w:val="22"/>
          <w:szCs w:val="22"/>
        </w:rPr>
      </w:pPr>
    </w:p>
    <w:p w:rsidR="00BE7176" w:rsidRDefault="00BE7176">
      <w:pPr>
        <w:pStyle w:val="Default"/>
        <w:jc w:val="both"/>
        <w:rPr>
          <w:rFonts w:ascii="Calibri" w:hAnsi="Calibri"/>
          <w:sz w:val="22"/>
          <w:szCs w:val="22"/>
        </w:rPr>
      </w:pPr>
      <w:r>
        <w:rPr>
          <w:rFonts w:ascii="Calibri" w:hAnsi="Calibri"/>
          <w:sz w:val="22"/>
          <w:szCs w:val="22"/>
        </w:rPr>
        <w:t xml:space="preserve">A public official is met with a </w:t>
      </w:r>
      <w:r>
        <w:rPr>
          <w:rFonts w:ascii="Calibri" w:hAnsi="Calibri"/>
          <w:b/>
          <w:bCs/>
          <w:sz w:val="22"/>
          <w:szCs w:val="22"/>
        </w:rPr>
        <w:t xml:space="preserve">potential </w:t>
      </w:r>
      <w:r>
        <w:rPr>
          <w:rFonts w:ascii="Calibri" w:hAnsi="Calibri"/>
          <w:sz w:val="22"/>
          <w:szCs w:val="22"/>
        </w:rPr>
        <w:t xml:space="preserve">conflict of interest when the public official participates in action that </w:t>
      </w:r>
      <w:r>
        <w:rPr>
          <w:rFonts w:ascii="Calibri" w:hAnsi="Calibri"/>
          <w:b/>
          <w:bCs/>
          <w:sz w:val="22"/>
          <w:szCs w:val="22"/>
        </w:rPr>
        <w:t xml:space="preserve">could </w:t>
      </w:r>
      <w:r>
        <w:rPr>
          <w:rFonts w:ascii="Calibri" w:hAnsi="Calibri"/>
          <w:sz w:val="22"/>
          <w:szCs w:val="22"/>
        </w:rPr>
        <w:t>affect the financial interest of the official, a relative of that official or a business with which the official or the relative of that official is associated.</w:t>
      </w:r>
    </w:p>
    <w:p w:rsidR="00BE7176" w:rsidRDefault="00BE7176">
      <w:pPr>
        <w:pStyle w:val="Default"/>
        <w:jc w:val="both"/>
        <w:rPr>
          <w:rFonts w:ascii="Calibri" w:hAnsi="Calibri"/>
          <w:sz w:val="22"/>
          <w:szCs w:val="22"/>
        </w:rPr>
      </w:pPr>
    </w:p>
    <w:p w:rsidR="00BE7176" w:rsidRDefault="00BE7176">
      <w:pPr>
        <w:rPr>
          <w:rFonts w:ascii="Calibri" w:hAnsi="Calibri" w:cs="Arial"/>
          <w:sz w:val="22"/>
          <w:szCs w:val="22"/>
        </w:rPr>
      </w:pPr>
      <w:r>
        <w:rPr>
          <w:rFonts w:ascii="Calibri" w:hAnsi="Calibri" w:cs="Arial"/>
          <w:sz w:val="22"/>
          <w:szCs w:val="22"/>
        </w:rPr>
        <w:t>A public official must announce or disclose the nature of a conflict of interest.  The way the disclosure is made depends on the position held.  The following public officials must use the methods described below:</w:t>
      </w:r>
    </w:p>
    <w:p w:rsidR="00BE7176" w:rsidRDefault="00BE7176">
      <w:pPr>
        <w:rPr>
          <w:rFonts w:ascii="Calibri" w:hAnsi="Calibri" w:cs="Arial"/>
          <w:sz w:val="22"/>
          <w:szCs w:val="22"/>
        </w:rPr>
      </w:pPr>
    </w:p>
    <w:p w:rsidR="00BE7176" w:rsidRDefault="00BE7176">
      <w:pPr>
        <w:widowControl w:val="0"/>
        <w:numPr>
          <w:ilvl w:val="0"/>
          <w:numId w:val="39"/>
        </w:numPr>
        <w:tabs>
          <w:tab w:val="num" w:pos="360"/>
        </w:tabs>
        <w:autoSpaceDE w:val="0"/>
        <w:autoSpaceDN w:val="0"/>
        <w:adjustRightInd w:val="0"/>
        <w:ind w:left="360"/>
        <w:jc w:val="both"/>
        <w:rPr>
          <w:rFonts w:ascii="Calibri" w:hAnsi="Calibri" w:cs="Arial"/>
          <w:sz w:val="22"/>
          <w:szCs w:val="22"/>
        </w:rPr>
      </w:pPr>
      <w:r>
        <w:rPr>
          <w:rFonts w:ascii="Calibri" w:hAnsi="Calibri" w:cs="Arial"/>
          <w:sz w:val="22"/>
          <w:szCs w:val="22"/>
          <w:u w:val="single"/>
        </w:rPr>
        <w:t>Potential Conflict of Interest</w:t>
      </w:r>
      <w:r>
        <w:rPr>
          <w:rFonts w:ascii="Calibri" w:hAnsi="Calibri" w:cs="Arial"/>
          <w:sz w:val="22"/>
          <w:szCs w:val="22"/>
        </w:rPr>
        <w:t>:  Following the public announcement, the public official may participate in official action on the issue that gave rise to the conflict of interest.</w:t>
      </w:r>
    </w:p>
    <w:p w:rsidR="00BE7176" w:rsidRDefault="00BE7176">
      <w:pPr>
        <w:jc w:val="both"/>
        <w:rPr>
          <w:rFonts w:ascii="Calibri" w:hAnsi="Calibri" w:cs="Arial"/>
          <w:sz w:val="22"/>
          <w:szCs w:val="22"/>
        </w:rPr>
      </w:pPr>
    </w:p>
    <w:p w:rsidR="00BE7176" w:rsidRDefault="00BE7176">
      <w:pPr>
        <w:widowControl w:val="0"/>
        <w:numPr>
          <w:ilvl w:val="0"/>
          <w:numId w:val="39"/>
        </w:numPr>
        <w:tabs>
          <w:tab w:val="num" w:pos="360"/>
        </w:tabs>
        <w:autoSpaceDE w:val="0"/>
        <w:autoSpaceDN w:val="0"/>
        <w:adjustRightInd w:val="0"/>
        <w:ind w:left="360"/>
        <w:jc w:val="both"/>
        <w:rPr>
          <w:rFonts w:ascii="Calibri" w:hAnsi="Calibri" w:cs="Arial"/>
          <w:i/>
          <w:sz w:val="22"/>
          <w:szCs w:val="22"/>
        </w:rPr>
      </w:pPr>
      <w:r>
        <w:rPr>
          <w:rFonts w:ascii="Calibri" w:hAnsi="Calibri" w:cs="Arial"/>
          <w:sz w:val="22"/>
          <w:szCs w:val="22"/>
          <w:u w:val="single"/>
        </w:rPr>
        <w:t>Actual Conflict of Interest</w:t>
      </w:r>
      <w:r>
        <w:rPr>
          <w:rFonts w:ascii="Calibri" w:hAnsi="Calibri" w:cs="Arial"/>
          <w:sz w:val="22"/>
          <w:szCs w:val="22"/>
        </w:rPr>
        <w:t xml:space="preserve">:  Following the public announcement, the public official must refrain from further participation in official action on the issue that gave rise to the conflict of interest.  </w:t>
      </w:r>
    </w:p>
    <w:p w:rsidR="00BE7176" w:rsidRDefault="00BE7176">
      <w:pPr>
        <w:pStyle w:val="ListParagraph"/>
        <w:rPr>
          <w:rFonts w:ascii="Calibri" w:hAnsi="Calibri" w:cs="Arial"/>
          <w:i/>
          <w:sz w:val="22"/>
          <w:szCs w:val="22"/>
        </w:rPr>
      </w:pPr>
    </w:p>
    <w:p w:rsidR="00BE7176" w:rsidRDefault="00BE7176">
      <w:pPr>
        <w:jc w:val="both"/>
        <w:rPr>
          <w:rFonts w:ascii="Calibri" w:hAnsi="Calibri" w:cs="Arial"/>
          <w:sz w:val="22"/>
          <w:szCs w:val="22"/>
        </w:rPr>
      </w:pPr>
      <w:r>
        <w:rPr>
          <w:rFonts w:ascii="Calibri" w:hAnsi="Calibri" w:cs="Arial"/>
          <w:sz w:val="22"/>
          <w:szCs w:val="22"/>
        </w:rPr>
        <w:t xml:space="preserve">If a public official is met with an actual conflict of interest and the public official’s vote is necessary to meet the minimum number of votes required for official action, the public official may vote.  The public official must make the required announcement and refrain from any discussion, but may participate in the vote required for official action by the governing body. These circumstances do not often occur.  This provision does not apply in situations where there are insufficient votes because of a member’s absence when the governing body is convened.  Rather, it applies in circumstances when </w:t>
      </w:r>
      <w:r>
        <w:rPr>
          <w:rFonts w:ascii="Calibri" w:hAnsi="Calibri" w:cs="Arial"/>
          <w:sz w:val="22"/>
          <w:szCs w:val="22"/>
          <w:u w:val="single"/>
        </w:rPr>
        <w:t>all members of the governing body are present</w:t>
      </w:r>
      <w:r>
        <w:rPr>
          <w:rFonts w:ascii="Calibri" w:hAnsi="Calibri" w:cs="Arial"/>
          <w:sz w:val="22"/>
          <w:szCs w:val="22"/>
        </w:rPr>
        <w:t xml:space="preserve"> and the number of members who must refrain due to actual conflicts of interest make it impossible for the governing body to take official action.</w:t>
      </w:r>
    </w:p>
    <w:p w:rsidR="00BE7176" w:rsidRDefault="00BE7176">
      <w:pPr>
        <w:rPr>
          <w:rFonts w:ascii="Calibri" w:hAnsi="Calibri" w:cs="Arial"/>
          <w:sz w:val="22"/>
          <w:szCs w:val="22"/>
        </w:rPr>
      </w:pPr>
    </w:p>
    <w:p w:rsidR="007C58B0" w:rsidRDefault="007C58B0" w:rsidP="007C58B0">
      <w:pPr>
        <w:rPr>
          <w:rFonts w:ascii="Calibri" w:hAnsi="Calibri" w:cs="Arial"/>
          <w:sz w:val="22"/>
          <w:szCs w:val="22"/>
        </w:rPr>
      </w:pPr>
    </w:p>
    <w:p w:rsidR="007C58B0" w:rsidRDefault="007C58B0" w:rsidP="007C58B0">
      <w:pPr>
        <w:rPr>
          <w:rFonts w:ascii="Calibri" w:hAnsi="Calibri" w:cs="Arial"/>
          <w:sz w:val="22"/>
          <w:szCs w:val="22"/>
        </w:rPr>
      </w:pPr>
      <w:r>
        <w:rPr>
          <w:rFonts w:ascii="Calibri" w:hAnsi="Calibri" w:cs="Arial"/>
          <w:sz w:val="22"/>
          <w:szCs w:val="22"/>
        </w:rPr>
        <w:t>Signed:</w:t>
      </w:r>
    </w:p>
    <w:p w:rsidR="007C58B0" w:rsidRDefault="007C58B0" w:rsidP="007C58B0">
      <w:pPr>
        <w:rPr>
          <w:rFonts w:ascii="Calibri" w:hAnsi="Calibri" w:cs="Arial"/>
          <w:sz w:val="22"/>
          <w:szCs w:val="22"/>
        </w:rPr>
      </w:pPr>
    </w:p>
    <w:p w:rsidR="007C58B0" w:rsidRDefault="007C58B0" w:rsidP="007C58B0">
      <w:pPr>
        <w:rPr>
          <w:rFonts w:ascii="Calibri" w:hAnsi="Calibri" w:cs="Arial"/>
          <w:sz w:val="22"/>
          <w:szCs w:val="22"/>
        </w:rPr>
      </w:pPr>
      <w:r>
        <w:rPr>
          <w:rFonts w:ascii="Calibri" w:hAnsi="Calibri" w:cs="Arial"/>
          <w:sz w:val="22"/>
          <w:szCs w:val="22"/>
        </w:rPr>
        <w:t>Bob Conder- CRFPD Chairman:  ___________________________________________________</w:t>
      </w:r>
    </w:p>
    <w:p w:rsidR="007C58B0" w:rsidRDefault="007C58B0" w:rsidP="007C58B0">
      <w:pPr>
        <w:rPr>
          <w:rFonts w:ascii="Calibri" w:hAnsi="Calibri" w:cs="Arial"/>
          <w:sz w:val="22"/>
          <w:szCs w:val="22"/>
        </w:rPr>
      </w:pPr>
    </w:p>
    <w:p w:rsidR="007C58B0" w:rsidRDefault="007C58B0" w:rsidP="007C58B0">
      <w:pPr>
        <w:rPr>
          <w:rFonts w:ascii="Calibri" w:hAnsi="Calibri" w:cs="Arial"/>
          <w:sz w:val="22"/>
          <w:szCs w:val="22"/>
        </w:rPr>
      </w:pPr>
    </w:p>
    <w:p w:rsidR="007C58B0" w:rsidRDefault="007C58B0" w:rsidP="007C58B0">
      <w:pPr>
        <w:rPr>
          <w:rFonts w:ascii="Calibri" w:hAnsi="Calibri" w:cs="Arial"/>
          <w:sz w:val="22"/>
          <w:szCs w:val="22"/>
        </w:rPr>
      </w:pPr>
    </w:p>
    <w:p w:rsidR="007C58B0" w:rsidRDefault="007C58B0" w:rsidP="007C58B0">
      <w:pPr>
        <w:rPr>
          <w:rFonts w:ascii="Calibri" w:hAnsi="Calibri" w:cs="Arial"/>
          <w:sz w:val="22"/>
          <w:szCs w:val="22"/>
        </w:rPr>
      </w:pPr>
    </w:p>
    <w:p w:rsidR="007C58B0" w:rsidRDefault="007C58B0" w:rsidP="007C58B0">
      <w:pPr>
        <w:rPr>
          <w:rFonts w:ascii="Calibri" w:hAnsi="Calibri" w:cs="Arial"/>
          <w:sz w:val="22"/>
          <w:szCs w:val="22"/>
        </w:rPr>
      </w:pPr>
    </w:p>
    <w:p w:rsidR="007C58B0" w:rsidRDefault="005C393C" w:rsidP="007C58B0">
      <w:pPr>
        <w:rPr>
          <w:rFonts w:ascii="Calibri" w:hAnsi="Calibri" w:cs="Arial"/>
          <w:sz w:val="22"/>
          <w:szCs w:val="22"/>
        </w:rPr>
      </w:pPr>
      <w:r>
        <w:rPr>
          <w:rFonts w:ascii="Calibri" w:hAnsi="Calibri" w:cs="Arial"/>
          <w:sz w:val="22"/>
          <w:szCs w:val="22"/>
        </w:rPr>
        <w:t>Steve Oda- CRFPD Treasurer</w:t>
      </w:r>
      <w:r w:rsidR="007C58B0">
        <w:rPr>
          <w:rFonts w:ascii="Calibri" w:hAnsi="Calibri" w:cs="Arial"/>
          <w:sz w:val="22"/>
          <w:szCs w:val="22"/>
        </w:rPr>
        <w:t>:  ___________________________________________________</w:t>
      </w:r>
    </w:p>
    <w:p w:rsidR="007C58B0" w:rsidRDefault="007C58B0" w:rsidP="007C58B0">
      <w:pPr>
        <w:rPr>
          <w:rFonts w:ascii="Calibri" w:hAnsi="Calibri" w:cs="Arial"/>
          <w:sz w:val="22"/>
          <w:szCs w:val="22"/>
        </w:rPr>
      </w:pPr>
    </w:p>
    <w:p w:rsidR="00BE7176" w:rsidRDefault="007C58B0">
      <w:pPr>
        <w:outlineLvl w:val="0"/>
        <w:rPr>
          <w:rFonts w:ascii="Calibri" w:hAnsi="Calibri" w:cs="Arial"/>
          <w:b/>
          <w:sz w:val="22"/>
          <w:szCs w:val="22"/>
        </w:rPr>
      </w:pPr>
      <w:r>
        <w:rPr>
          <w:rFonts w:ascii="Calibri" w:hAnsi="Calibri" w:cs="Arial"/>
          <w:b/>
          <w:sz w:val="22"/>
          <w:szCs w:val="22"/>
        </w:rPr>
        <w:br w:type="page"/>
      </w:r>
      <w:r w:rsidR="00BE7176">
        <w:rPr>
          <w:rFonts w:ascii="Calibri" w:hAnsi="Calibri" w:cs="Arial"/>
          <w:b/>
          <w:sz w:val="22"/>
          <w:szCs w:val="22"/>
        </w:rPr>
        <w:lastRenderedPageBreak/>
        <w:t>Useful Links</w:t>
      </w:r>
    </w:p>
    <w:p w:rsidR="00BE7176" w:rsidRDefault="00BE7176">
      <w:pPr>
        <w:outlineLvl w:val="0"/>
        <w:rPr>
          <w:rFonts w:ascii="Calibri" w:hAnsi="Calibri" w:cs="Arial"/>
          <w:sz w:val="22"/>
          <w:szCs w:val="22"/>
        </w:rPr>
      </w:pPr>
      <w:r>
        <w:rPr>
          <w:rFonts w:ascii="Calibri" w:hAnsi="Calibri" w:cs="Arial"/>
          <w:sz w:val="22"/>
          <w:szCs w:val="22"/>
        </w:rPr>
        <w:t xml:space="preserve">Oregon Government Ethics Commission Home Page: </w:t>
      </w:r>
      <w:hyperlink r:id="rId7" w:history="1">
        <w:r>
          <w:rPr>
            <w:rStyle w:val="Hyperlink"/>
            <w:rFonts w:ascii="Calibri" w:hAnsi="Calibri" w:cs="Arial"/>
            <w:sz w:val="22"/>
            <w:szCs w:val="22"/>
          </w:rPr>
          <w:t>http://www.oregon.gov/OGEC/</w:t>
        </w:r>
      </w:hyperlink>
      <w:r>
        <w:rPr>
          <w:rFonts w:ascii="Calibri" w:hAnsi="Calibri" w:cs="Arial"/>
          <w:sz w:val="22"/>
          <w:szCs w:val="22"/>
        </w:rPr>
        <w:t xml:space="preserve"> </w:t>
      </w:r>
    </w:p>
    <w:p w:rsidR="00BE7176" w:rsidRDefault="00BE7176">
      <w:pPr>
        <w:rPr>
          <w:rFonts w:ascii="Calibri" w:hAnsi="Calibri" w:cs="Arial"/>
          <w:sz w:val="22"/>
          <w:szCs w:val="22"/>
        </w:rPr>
      </w:pPr>
    </w:p>
    <w:p w:rsidR="00BE7176" w:rsidRDefault="00BE7176">
      <w:pPr>
        <w:rPr>
          <w:rFonts w:ascii="Calibri" w:hAnsi="Calibri" w:cs="Arial"/>
          <w:sz w:val="22"/>
          <w:szCs w:val="22"/>
        </w:rPr>
      </w:pPr>
      <w:r>
        <w:rPr>
          <w:rFonts w:ascii="Calibri" w:hAnsi="Calibri" w:cs="Arial"/>
          <w:sz w:val="22"/>
          <w:szCs w:val="22"/>
        </w:rPr>
        <w:t xml:space="preserve">Link to the Guide for Public Officials: </w:t>
      </w:r>
      <w:hyperlink r:id="rId8" w:history="1">
        <w:r>
          <w:rPr>
            <w:rStyle w:val="Hyperlink"/>
            <w:rFonts w:ascii="Calibri" w:hAnsi="Calibri" w:cs="Arial"/>
            <w:sz w:val="22"/>
            <w:szCs w:val="22"/>
          </w:rPr>
          <w:t>http://www.oregon.gov/OGEC/docs/Public_Official_Guide/2010-10_PO_Guide_October_Final_Adopted.pdf</w:t>
        </w:r>
      </w:hyperlink>
      <w:r>
        <w:rPr>
          <w:rFonts w:ascii="Calibri" w:hAnsi="Calibri" w:cs="Arial"/>
          <w:sz w:val="22"/>
          <w:szCs w:val="22"/>
        </w:rPr>
        <w:t xml:space="preserve"> </w:t>
      </w:r>
    </w:p>
    <w:p w:rsidR="00BE7176" w:rsidRDefault="00BE7176">
      <w:pPr>
        <w:rPr>
          <w:rFonts w:ascii="Calibri" w:hAnsi="Calibri" w:cs="Arial"/>
          <w:sz w:val="22"/>
          <w:szCs w:val="22"/>
        </w:rPr>
      </w:pPr>
    </w:p>
    <w:p w:rsidR="00BE7176" w:rsidRDefault="00BE7176">
      <w:pPr>
        <w:outlineLvl w:val="0"/>
        <w:rPr>
          <w:rFonts w:ascii="Calibri" w:hAnsi="Calibri" w:cs="Arial"/>
          <w:sz w:val="22"/>
          <w:szCs w:val="22"/>
        </w:rPr>
      </w:pPr>
      <w:r>
        <w:rPr>
          <w:rFonts w:ascii="Calibri" w:hAnsi="Calibri" w:cs="Arial"/>
          <w:sz w:val="22"/>
          <w:szCs w:val="22"/>
        </w:rPr>
        <w:t xml:space="preserve">Link to the ethics statutes found in ORS 244: </w:t>
      </w:r>
      <w:hyperlink r:id="rId9" w:history="1">
        <w:r>
          <w:rPr>
            <w:rStyle w:val="Hyperlink"/>
            <w:rFonts w:ascii="Calibri" w:hAnsi="Calibri" w:cs="Arial"/>
            <w:sz w:val="22"/>
            <w:szCs w:val="22"/>
          </w:rPr>
          <w:t>http://landru.leg.state.or.us/ors/244.html</w:t>
        </w:r>
      </w:hyperlink>
      <w:r>
        <w:rPr>
          <w:rFonts w:ascii="Calibri" w:hAnsi="Calibri" w:cs="Arial"/>
          <w:sz w:val="22"/>
          <w:szCs w:val="22"/>
        </w:rPr>
        <w:t xml:space="preserve"> </w:t>
      </w:r>
    </w:p>
    <w:p w:rsidR="00BE7176" w:rsidRDefault="00BE7176">
      <w:pPr>
        <w:rPr>
          <w:rFonts w:ascii="Calibri" w:hAnsi="Calibri" w:cs="Arial"/>
          <w:sz w:val="22"/>
          <w:szCs w:val="22"/>
        </w:rPr>
      </w:pPr>
    </w:p>
    <w:p w:rsidR="00BE7176" w:rsidRDefault="00BE7176">
      <w:pPr>
        <w:rPr>
          <w:rFonts w:ascii="Calibri" w:hAnsi="Calibri" w:cs="Arial"/>
          <w:sz w:val="22"/>
          <w:szCs w:val="22"/>
        </w:rPr>
      </w:pPr>
      <w:r>
        <w:rPr>
          <w:rFonts w:ascii="Calibri" w:hAnsi="Calibri" w:cs="Arial"/>
          <w:sz w:val="22"/>
          <w:szCs w:val="22"/>
        </w:rPr>
        <w:t xml:space="preserve">Link to the Oregon Administrative Rules that clarify and define the ethics statutes in ORS 244: </w:t>
      </w:r>
      <w:hyperlink r:id="rId10" w:history="1">
        <w:r>
          <w:rPr>
            <w:rStyle w:val="Hyperlink"/>
            <w:rFonts w:ascii="Calibri" w:hAnsi="Calibri" w:cs="Arial"/>
            <w:sz w:val="22"/>
            <w:szCs w:val="22"/>
          </w:rPr>
          <w:t>http://arcweb.sos.state.or.us/rules/OARS_100/OAR_199/199_tofc.html</w:t>
        </w:r>
      </w:hyperlink>
      <w:r>
        <w:rPr>
          <w:rFonts w:ascii="Calibri" w:hAnsi="Calibri" w:cs="Arial"/>
          <w:sz w:val="22"/>
          <w:szCs w:val="22"/>
        </w:rPr>
        <w:t xml:space="preserve"> </w:t>
      </w:r>
    </w:p>
    <w:p w:rsidR="00BE7176" w:rsidRDefault="00BE7176">
      <w:pPr>
        <w:rPr>
          <w:rFonts w:ascii="Calibri" w:hAnsi="Calibri" w:cs="Arial"/>
          <w:sz w:val="22"/>
          <w:szCs w:val="22"/>
        </w:rPr>
      </w:pPr>
    </w:p>
    <w:p w:rsidR="00BE7176" w:rsidRDefault="00BE7176">
      <w:pPr>
        <w:outlineLvl w:val="0"/>
        <w:rPr>
          <w:rFonts w:ascii="Calibri" w:hAnsi="Calibri" w:cs="Arial"/>
          <w:sz w:val="22"/>
          <w:szCs w:val="22"/>
        </w:rPr>
      </w:pPr>
      <w:r>
        <w:rPr>
          <w:rFonts w:ascii="Calibri" w:hAnsi="Calibri" w:cs="Arial"/>
          <w:sz w:val="22"/>
          <w:szCs w:val="22"/>
        </w:rPr>
        <w:t xml:space="preserve">Link to the public meeting statutes found in ORS 192: </w:t>
      </w:r>
      <w:hyperlink r:id="rId11" w:history="1">
        <w:r>
          <w:rPr>
            <w:rStyle w:val="Hyperlink"/>
            <w:rFonts w:ascii="Calibri" w:hAnsi="Calibri" w:cs="Arial"/>
            <w:sz w:val="22"/>
            <w:szCs w:val="22"/>
          </w:rPr>
          <w:t>http://landru.leg.state.or.us/ors/192.html</w:t>
        </w:r>
      </w:hyperlink>
      <w:r>
        <w:rPr>
          <w:rFonts w:ascii="Calibri" w:hAnsi="Calibri" w:cs="Arial"/>
          <w:sz w:val="22"/>
          <w:szCs w:val="22"/>
        </w:rPr>
        <w:t xml:space="preserve"> </w:t>
      </w:r>
    </w:p>
    <w:p w:rsidR="00BE7176" w:rsidRDefault="00BE7176">
      <w:pPr>
        <w:rPr>
          <w:rFonts w:ascii="Calibri" w:hAnsi="Calibri" w:cs="Arial"/>
          <w:sz w:val="22"/>
          <w:szCs w:val="22"/>
        </w:rPr>
      </w:pPr>
    </w:p>
    <w:p w:rsidR="00BE7176" w:rsidRDefault="00BE7176">
      <w:pPr>
        <w:rPr>
          <w:rFonts w:ascii="Calibri" w:hAnsi="Calibri" w:cs="Arial"/>
          <w:sz w:val="22"/>
          <w:szCs w:val="22"/>
        </w:rPr>
      </w:pPr>
      <w:r>
        <w:rPr>
          <w:rFonts w:ascii="Calibri" w:hAnsi="Calibri" w:cs="Arial"/>
          <w:sz w:val="22"/>
          <w:szCs w:val="22"/>
        </w:rPr>
        <w:t xml:space="preserve">Link to the Attorney General’s Public Records and Meetings Manual, prepared by the Oregon Department of Justice: </w:t>
      </w:r>
      <w:hyperlink r:id="rId12" w:history="1">
        <w:r>
          <w:rPr>
            <w:rStyle w:val="Hyperlink"/>
            <w:rFonts w:ascii="Calibri" w:hAnsi="Calibri" w:cs="Arial"/>
            <w:sz w:val="22"/>
            <w:szCs w:val="22"/>
          </w:rPr>
          <w:t>http://www.doj.state.or.us/pdf/public_records_and_meetings_manual.pdf</w:t>
        </w:r>
      </w:hyperlink>
    </w:p>
    <w:sectPr w:rsidR="00BE7176">
      <w:headerReference w:type="default" r:id="rId13"/>
      <w:footerReference w:type="default" r:id="rId14"/>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AE" w:rsidRDefault="00B933AE">
      <w:r>
        <w:separator/>
      </w:r>
    </w:p>
  </w:endnote>
  <w:endnote w:type="continuationSeparator" w:id="0">
    <w:p w:rsidR="00B933AE" w:rsidRDefault="00B9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176" w:rsidRDefault="00BE7176">
    <w:pPr>
      <w:pStyle w:val="Footer"/>
      <w:jc w:val="center"/>
    </w:pPr>
    <w:r>
      <w:t>Adopted: February 23,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AE" w:rsidRDefault="00B933AE">
      <w:r>
        <w:separator/>
      </w:r>
    </w:p>
  </w:footnote>
  <w:footnote w:type="continuationSeparator" w:id="0">
    <w:p w:rsidR="00B933AE" w:rsidRDefault="00B9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176" w:rsidRDefault="00BE7176">
    <w:pPr>
      <w:pStyle w:val="Header"/>
      <w:jc w:val="center"/>
    </w:pPr>
    <w:r>
      <w:rPr>
        <w:sz w:val="28"/>
      </w:rPr>
      <w:t>Corvallis Rural Fire Protection District Ethics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AF7821"/>
    <w:multiLevelType w:val="hybridMultilevel"/>
    <w:tmpl w:val="CB6F44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62E983"/>
    <w:multiLevelType w:val="hybridMultilevel"/>
    <w:tmpl w:val="B2B862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CCE66F"/>
    <w:multiLevelType w:val="hybridMultilevel"/>
    <w:tmpl w:val="667239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061FDC"/>
    <w:multiLevelType w:val="hybridMultilevel"/>
    <w:tmpl w:val="C8DE73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A22A78"/>
    <w:multiLevelType w:val="hybridMultilevel"/>
    <w:tmpl w:val="AEA8DA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C97C7"/>
    <w:multiLevelType w:val="hybridMultilevel"/>
    <w:tmpl w:val="CBCC85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9706762"/>
    <w:multiLevelType w:val="hybridMultilevel"/>
    <w:tmpl w:val="91DD66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C93088"/>
    <w:multiLevelType w:val="multilevel"/>
    <w:tmpl w:val="15C6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F7FBE"/>
    <w:multiLevelType w:val="multilevel"/>
    <w:tmpl w:val="E16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57FC8"/>
    <w:multiLevelType w:val="multilevel"/>
    <w:tmpl w:val="058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633D6"/>
    <w:multiLevelType w:val="multilevel"/>
    <w:tmpl w:val="AB66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33A1A"/>
    <w:multiLevelType w:val="hybridMultilevel"/>
    <w:tmpl w:val="6448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D028C"/>
    <w:multiLevelType w:val="multilevel"/>
    <w:tmpl w:val="B224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8B7459"/>
    <w:multiLevelType w:val="hybridMultilevel"/>
    <w:tmpl w:val="003AF2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032A59"/>
    <w:multiLevelType w:val="hybridMultilevel"/>
    <w:tmpl w:val="8F20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87258"/>
    <w:multiLevelType w:val="multilevel"/>
    <w:tmpl w:val="E302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C157B"/>
    <w:multiLevelType w:val="hybridMultilevel"/>
    <w:tmpl w:val="9572E8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97152B4"/>
    <w:multiLevelType w:val="multilevel"/>
    <w:tmpl w:val="22DC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86FFE"/>
    <w:multiLevelType w:val="hybridMultilevel"/>
    <w:tmpl w:val="46AA7B12"/>
    <w:lvl w:ilvl="0" w:tplc="7DE2A93E">
      <w:start w:val="1"/>
      <w:numFmt w:val="lowerLetter"/>
      <w:lvlText w:val="%1."/>
      <w:lvlJc w:val="left"/>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3665D"/>
    <w:multiLevelType w:val="hybridMultilevel"/>
    <w:tmpl w:val="820A4D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FF1C47"/>
    <w:multiLevelType w:val="hybridMultilevel"/>
    <w:tmpl w:val="5926F8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47E6700"/>
    <w:multiLevelType w:val="hybridMultilevel"/>
    <w:tmpl w:val="7E6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E1C2D"/>
    <w:multiLevelType w:val="hybridMultilevel"/>
    <w:tmpl w:val="236A74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8E54F20"/>
    <w:multiLevelType w:val="hybridMultilevel"/>
    <w:tmpl w:val="8042F862"/>
    <w:lvl w:ilvl="0" w:tplc="BBDEA4C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A6401"/>
    <w:multiLevelType w:val="multilevel"/>
    <w:tmpl w:val="F098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687CC8"/>
    <w:multiLevelType w:val="hybridMultilevel"/>
    <w:tmpl w:val="D458D022"/>
    <w:lvl w:ilvl="0" w:tplc="BBDEA4C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77DD8"/>
    <w:multiLevelType w:val="hybridMultilevel"/>
    <w:tmpl w:val="57E0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450E3"/>
    <w:multiLevelType w:val="hybridMultilevel"/>
    <w:tmpl w:val="3BB6FF0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58714003"/>
    <w:multiLevelType w:val="multilevel"/>
    <w:tmpl w:val="DF7E72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FF08DF"/>
    <w:multiLevelType w:val="hybridMultilevel"/>
    <w:tmpl w:val="1472A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D12567"/>
    <w:multiLevelType w:val="hybridMultilevel"/>
    <w:tmpl w:val="371A710C"/>
    <w:lvl w:ilvl="0" w:tplc="7DE2A93E">
      <w:start w:val="1"/>
      <w:numFmt w:val="lowerLetter"/>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520084"/>
    <w:multiLevelType w:val="multilevel"/>
    <w:tmpl w:val="2DFA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3005D6"/>
    <w:multiLevelType w:val="multilevel"/>
    <w:tmpl w:val="1024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89414F"/>
    <w:multiLevelType w:val="multilevel"/>
    <w:tmpl w:val="514E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8C07D9"/>
    <w:multiLevelType w:val="hybridMultilevel"/>
    <w:tmpl w:val="09EE81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7411E2"/>
    <w:multiLevelType w:val="multilevel"/>
    <w:tmpl w:val="9762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981EE2"/>
    <w:multiLevelType w:val="multilevel"/>
    <w:tmpl w:val="0F96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707819"/>
    <w:multiLevelType w:val="hybridMultilevel"/>
    <w:tmpl w:val="634E1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4F5819"/>
    <w:multiLevelType w:val="hybridMultilevel"/>
    <w:tmpl w:val="F618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7"/>
  </w:num>
  <w:num w:numId="4">
    <w:abstractNumId w:val="36"/>
  </w:num>
  <w:num w:numId="5">
    <w:abstractNumId w:val="32"/>
  </w:num>
  <w:num w:numId="6">
    <w:abstractNumId w:val="12"/>
  </w:num>
  <w:num w:numId="7">
    <w:abstractNumId w:val="35"/>
  </w:num>
  <w:num w:numId="8">
    <w:abstractNumId w:val="15"/>
  </w:num>
  <w:num w:numId="9">
    <w:abstractNumId w:val="37"/>
  </w:num>
  <w:num w:numId="10">
    <w:abstractNumId w:val="29"/>
  </w:num>
  <w:num w:numId="11">
    <w:abstractNumId w:val="38"/>
  </w:num>
  <w:num w:numId="12">
    <w:abstractNumId w:val="11"/>
  </w:num>
  <w:num w:numId="13">
    <w:abstractNumId w:val="31"/>
  </w:num>
  <w:num w:numId="14">
    <w:abstractNumId w:val="8"/>
  </w:num>
  <w:num w:numId="15">
    <w:abstractNumId w:val="33"/>
  </w:num>
  <w:num w:numId="16">
    <w:abstractNumId w:val="9"/>
  </w:num>
  <w:num w:numId="17">
    <w:abstractNumId w:val="28"/>
  </w:num>
  <w:num w:numId="18">
    <w:abstractNumId w:val="10"/>
  </w:num>
  <w:num w:numId="19">
    <w:abstractNumId w:val="7"/>
  </w:num>
  <w:num w:numId="20">
    <w:abstractNumId w:val="19"/>
  </w:num>
  <w:num w:numId="21">
    <w:abstractNumId w:val="16"/>
  </w:num>
  <w:num w:numId="22">
    <w:abstractNumId w:val="22"/>
  </w:num>
  <w:num w:numId="23">
    <w:abstractNumId w:val="34"/>
  </w:num>
  <w:num w:numId="24">
    <w:abstractNumId w:val="2"/>
  </w:num>
  <w:num w:numId="25">
    <w:abstractNumId w:val="0"/>
  </w:num>
  <w:num w:numId="26">
    <w:abstractNumId w:val="6"/>
  </w:num>
  <w:num w:numId="27">
    <w:abstractNumId w:val="1"/>
  </w:num>
  <w:num w:numId="28">
    <w:abstractNumId w:val="30"/>
  </w:num>
  <w:num w:numId="29">
    <w:abstractNumId w:val="26"/>
  </w:num>
  <w:num w:numId="30">
    <w:abstractNumId w:val="14"/>
  </w:num>
  <w:num w:numId="31">
    <w:abstractNumId w:val="20"/>
  </w:num>
  <w:num w:numId="32">
    <w:abstractNumId w:val="3"/>
  </w:num>
  <w:num w:numId="33">
    <w:abstractNumId w:val="5"/>
  </w:num>
  <w:num w:numId="34">
    <w:abstractNumId w:val="4"/>
  </w:num>
  <w:num w:numId="35">
    <w:abstractNumId w:val="21"/>
  </w:num>
  <w:num w:numId="36">
    <w:abstractNumId w:val="18"/>
  </w:num>
  <w:num w:numId="37">
    <w:abstractNumId w:val="25"/>
  </w:num>
  <w:num w:numId="38">
    <w:abstractNumId w:val="2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064"/>
    <w:rsid w:val="00211EF3"/>
    <w:rsid w:val="00452442"/>
    <w:rsid w:val="005C393C"/>
    <w:rsid w:val="007C58B0"/>
    <w:rsid w:val="00AF14E1"/>
    <w:rsid w:val="00B46A83"/>
    <w:rsid w:val="00B933AE"/>
    <w:rsid w:val="00BE7176"/>
    <w:rsid w:val="00C52064"/>
    <w:rsid w:val="00E10703"/>
    <w:rsid w:val="00E427A2"/>
    <w:rsid w:val="00E5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735DC4-2DAC-40AD-BB08-E1955540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outlineLvl w:val="0"/>
    </w:pPr>
    <w:rPr>
      <w:b/>
      <w:bCs/>
      <w:kern w:val="36"/>
    </w:rPr>
  </w:style>
  <w:style w:type="paragraph" w:styleId="Heading2">
    <w:name w:val="heading 2"/>
    <w:basedOn w:val="Normal"/>
    <w:qFormat/>
    <w:pPr>
      <w:outlineLvl w:val="1"/>
    </w:pPr>
    <w:rPr>
      <w:b/>
      <w:bCs/>
    </w:rPr>
  </w:style>
  <w:style w:type="paragraph" w:styleId="Heading3">
    <w:name w:val="heading 3"/>
    <w:basedOn w:val="Normal"/>
    <w:qFormat/>
    <w:pPr>
      <w:outlineLvl w:val="2"/>
    </w:pPr>
    <w:rPr>
      <w:b/>
      <w:bCs/>
    </w:rPr>
  </w:style>
  <w:style w:type="paragraph" w:styleId="Heading4">
    <w:name w:val="heading 4"/>
    <w:basedOn w:val="Normal"/>
    <w:qFormat/>
    <w:pPr>
      <w:outlineLvl w:val="3"/>
    </w:pPr>
    <w:rPr>
      <w:b/>
      <w:bCs/>
    </w:rPr>
  </w:style>
  <w:style w:type="paragraph" w:styleId="Heading5">
    <w:name w:val="heading 5"/>
    <w:basedOn w:val="Normal"/>
    <w:qFormat/>
    <w:pPr>
      <w:outlineLvl w:val="4"/>
    </w:pPr>
    <w:rPr>
      <w:b/>
      <w:bCs/>
    </w:rPr>
  </w:style>
  <w:style w:type="paragraph" w:styleId="Heading6">
    <w:name w:val="heading 6"/>
    <w:basedOn w:val="Normal"/>
    <w:qFormat/>
    <w:pPr>
      <w:outlineLvl w:val="5"/>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FFFFFF"/>
    </w:rPr>
  </w:style>
  <w:style w:type="character" w:styleId="Emphasis">
    <w:name w:val="Emphasis"/>
    <w:qFormat/>
    <w:rPr>
      <w:i/>
      <w:iC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semiHidden/>
    <w:rPr>
      <w:color w:val="0000FF"/>
      <w:u w:val="single"/>
    </w:rPr>
  </w:style>
  <w:style w:type="character" w:customStyle="1" w:styleId="flagicon">
    <w:name w:val="flagicon"/>
    <w:basedOn w:val="DefaultParagraphFont"/>
  </w:style>
  <w:style w:type="character" w:customStyle="1" w:styleId="Heading1Char">
    <w:name w:val="Heading 1 Char"/>
    <w:rPr>
      <w:b/>
      <w:bCs/>
      <w:kern w:val="36"/>
      <w:sz w:val="24"/>
      <w:szCs w:val="24"/>
    </w:rPr>
  </w:style>
  <w:style w:type="character" w:customStyle="1" w:styleId="Heading2Char">
    <w:name w:val="Heading 2 Char"/>
    <w:rPr>
      <w:b/>
      <w:bCs/>
      <w:sz w:val="24"/>
      <w:szCs w:val="24"/>
    </w:rPr>
  </w:style>
  <w:style w:type="character" w:customStyle="1" w:styleId="Heading3Char">
    <w:name w:val="Heading 3 Char"/>
    <w:rPr>
      <w:b/>
      <w:bCs/>
      <w:sz w:val="24"/>
      <w:szCs w:val="24"/>
    </w:rPr>
  </w:style>
  <w:style w:type="character" w:customStyle="1" w:styleId="Heading4Char">
    <w:name w:val="Heading 4 Char"/>
    <w:rPr>
      <w:b/>
      <w:bCs/>
      <w:sz w:val="24"/>
      <w:szCs w:val="24"/>
    </w:rPr>
  </w:style>
  <w:style w:type="character" w:customStyle="1" w:styleId="Heading5Char">
    <w:name w:val="Heading 5 Char"/>
    <w:rPr>
      <w:b/>
      <w:bCs/>
      <w:sz w:val="24"/>
      <w:szCs w:val="24"/>
    </w:rPr>
  </w:style>
  <w:style w:type="character" w:customStyle="1" w:styleId="Heading6Char">
    <w:name w:val="Heading 6 Char"/>
    <w:rPr>
      <w:b/>
      <w:bCs/>
      <w:sz w:val="24"/>
      <w:szCs w:val="24"/>
    </w:rPr>
  </w:style>
  <w:style w:type="character" w:styleId="FollowedHyperlink">
    <w:name w:val="FollowedHyperlink"/>
    <w:semiHidden/>
    <w:unhideWhenUsed/>
    <w:rPr>
      <w:rFonts w:ascii="Arial" w:hAnsi="Arial" w:cs="Arial" w:hint="default"/>
      <w:strike w:val="0"/>
      <w:dstrike w:val="0"/>
      <w:color w:val="17609A"/>
      <w:sz w:val="18"/>
      <w:szCs w:val="18"/>
      <w:u w:val="none"/>
      <w:effect w:val="none"/>
    </w:rPr>
  </w:style>
  <w:style w:type="paragraph" w:customStyle="1" w:styleId="floatleftpaddingbottom1">
    <w:name w:val="floatleftpaddingbottom1"/>
    <w:basedOn w:val="Normal"/>
    <w:pPr>
      <w:spacing w:before="100" w:beforeAutospacing="1" w:after="100" w:afterAutospacing="1"/>
    </w:pPr>
  </w:style>
  <w:style w:type="paragraph" w:customStyle="1" w:styleId="floatleftpaddingbottom">
    <w:name w:val="floatleftpaddingbottom"/>
    <w:basedOn w:val="Normal"/>
    <w:pPr>
      <w:spacing w:before="100" w:beforeAutospacing="1" w:after="100" w:afterAutospacing="1"/>
    </w:pPr>
  </w:style>
  <w:style w:type="paragraph" w:customStyle="1" w:styleId="floatleftpaddingbottom3">
    <w:name w:val="floatleftpaddingbottom3"/>
    <w:basedOn w:val="Normal"/>
    <w:pPr>
      <w:spacing w:before="100" w:beforeAutospacing="1" w:after="100" w:afterAutospacing="1"/>
    </w:pPr>
    <w:rPr>
      <w:rFonts w:ascii="Arial" w:hAnsi="Arial" w:cs="Arial"/>
      <w:color w:val="514D4D"/>
      <w:sz w:val="17"/>
      <w:szCs w:val="17"/>
    </w:rPr>
  </w:style>
  <w:style w:type="paragraph" w:customStyle="1" w:styleId="homemiddlebox">
    <w:name w:val="homemiddlebox"/>
    <w:basedOn w:val="Normal"/>
    <w:pPr>
      <w:spacing w:after="300" w:line="240" w:lineRule="atLeast"/>
    </w:pPr>
    <w:rPr>
      <w:rFonts w:ascii="Arial" w:hAnsi="Arial" w:cs="Arial"/>
      <w:color w:val="6C6961"/>
      <w:sz w:val="20"/>
      <w:szCs w:val="20"/>
    </w:rPr>
  </w:style>
  <w:style w:type="paragraph" w:customStyle="1" w:styleId="homemiddlesingle">
    <w:name w:val="homemiddlesingle"/>
    <w:basedOn w:val="Normal"/>
    <w:pPr>
      <w:spacing w:before="100" w:beforeAutospacing="1" w:after="100" w:afterAutospacing="1"/>
    </w:pPr>
  </w:style>
  <w:style w:type="paragraph" w:customStyle="1" w:styleId="form">
    <w:name w:val="form"/>
    <w:basedOn w:val="Normal"/>
    <w:pPr>
      <w:pBdr>
        <w:top w:val="single" w:sz="6" w:space="0" w:color="CFCFD0"/>
        <w:left w:val="single" w:sz="6" w:space="2" w:color="CFCFD0"/>
        <w:bottom w:val="single" w:sz="6" w:space="0" w:color="CFCFD0"/>
        <w:right w:val="single" w:sz="6" w:space="0" w:color="CFCFD0"/>
      </w:pBdr>
      <w:spacing w:before="100" w:beforeAutospacing="1" w:after="75"/>
    </w:pPr>
    <w:rPr>
      <w:rFonts w:ascii="Courier" w:hAnsi="Courier"/>
      <w:color w:val="76848F"/>
      <w:sz w:val="17"/>
      <w:szCs w:val="17"/>
    </w:rPr>
  </w:style>
  <w:style w:type="paragraph" w:customStyle="1" w:styleId="formlarge">
    <w:name w:val="formlarge"/>
    <w:basedOn w:val="Normal"/>
    <w:pPr>
      <w:pBdr>
        <w:top w:val="single" w:sz="6" w:space="0" w:color="CFCFD0"/>
        <w:left w:val="single" w:sz="6" w:space="2" w:color="CFCFD0"/>
        <w:bottom w:val="single" w:sz="6" w:space="0" w:color="CFCFD0"/>
        <w:right w:val="single" w:sz="6" w:space="0" w:color="CFCFD0"/>
      </w:pBdr>
      <w:spacing w:before="100" w:beforeAutospacing="1" w:after="75"/>
    </w:pPr>
    <w:rPr>
      <w:rFonts w:ascii="Courier" w:hAnsi="Courier"/>
      <w:color w:val="76848F"/>
      <w:sz w:val="17"/>
      <w:szCs w:val="17"/>
    </w:rPr>
  </w:style>
  <w:style w:type="paragraph" w:customStyle="1" w:styleId="nominateteacher">
    <w:name w:val="nominateteacher"/>
    <w:basedOn w:val="Normal"/>
    <w:pPr>
      <w:spacing w:before="100" w:beforeAutospacing="1" w:after="300"/>
    </w:pPr>
  </w:style>
  <w:style w:type="paragraph" w:customStyle="1" w:styleId="email">
    <w:name w:val="email"/>
    <w:basedOn w:val="Normal"/>
    <w:pPr>
      <w:spacing w:before="100" w:beforeAutospacing="1" w:after="300"/>
    </w:pPr>
  </w:style>
  <w:style w:type="paragraph" w:customStyle="1" w:styleId="commentsbutton">
    <w:name w:val="commentsbutton"/>
    <w:basedOn w:val="Normal"/>
    <w:pPr>
      <w:spacing w:before="165" w:after="300"/>
      <w:ind w:left="2385"/>
    </w:pPr>
  </w:style>
  <w:style w:type="paragraph" w:customStyle="1" w:styleId="officialrules">
    <w:name w:val="officialrules"/>
    <w:basedOn w:val="Normal"/>
    <w:pPr>
      <w:spacing w:before="100" w:beforeAutospacing="1" w:after="300"/>
    </w:pPr>
  </w:style>
  <w:style w:type="paragraph" w:customStyle="1" w:styleId="commenttext">
    <w:name w:val="commenttext"/>
    <w:basedOn w:val="Normal"/>
    <w:pPr>
      <w:spacing w:before="100" w:beforeAutospacing="1" w:after="100" w:afterAutospacing="1"/>
    </w:pPr>
    <w:rPr>
      <w:i/>
      <w:iCs/>
      <w:color w:val="A40C34"/>
      <w:sz w:val="20"/>
      <w:szCs w:val="20"/>
    </w:rPr>
  </w:style>
  <w:style w:type="paragraph" w:customStyle="1" w:styleId="quotename">
    <w:name w:val="quotename"/>
    <w:basedOn w:val="Normal"/>
    <w:pPr>
      <w:spacing w:before="100" w:beforeAutospacing="1" w:after="100" w:afterAutospacing="1"/>
    </w:pPr>
    <w:rPr>
      <w:rFonts w:ascii="Arial" w:hAnsi="Arial" w:cs="Arial"/>
      <w:color w:val="504E4E"/>
      <w:sz w:val="18"/>
      <w:szCs w:val="18"/>
    </w:rPr>
  </w:style>
  <w:style w:type="paragraph" w:customStyle="1" w:styleId="from">
    <w:name w:val="from"/>
    <w:basedOn w:val="Normal"/>
    <w:pPr>
      <w:spacing w:before="100" w:beforeAutospacing="1" w:after="100" w:afterAutospacing="1"/>
      <w:ind w:right="45"/>
    </w:pPr>
    <w:rPr>
      <w:color w:val="504E4E"/>
      <w:sz w:val="14"/>
      <w:szCs w:val="14"/>
    </w:rPr>
  </w:style>
  <w:style w:type="paragraph" w:customStyle="1" w:styleId="video">
    <w:name w:val="video"/>
    <w:basedOn w:val="Normal"/>
    <w:pPr>
      <w:spacing w:before="100" w:beforeAutospacing="1" w:after="100" w:afterAutospacing="1"/>
    </w:pPr>
    <w:rPr>
      <w:sz w:val="18"/>
      <w:szCs w:val="18"/>
    </w:rPr>
  </w:style>
  <w:style w:type="paragraph" w:customStyle="1" w:styleId="videolist">
    <w:name w:val="videolist"/>
    <w:basedOn w:val="Normal"/>
    <w:pPr>
      <w:spacing w:before="100" w:beforeAutospacing="1" w:after="100" w:afterAutospacing="1"/>
    </w:pPr>
  </w:style>
  <w:style w:type="paragraph" w:customStyle="1" w:styleId="sfcommentlisting">
    <w:name w:val="sf_commentlisting"/>
    <w:basedOn w:val="Normal"/>
    <w:pPr>
      <w:spacing w:before="100" w:beforeAutospacing="1" w:after="100" w:afterAutospacing="1"/>
    </w:pPr>
    <w:rPr>
      <w:vanish/>
    </w:rPr>
  </w:style>
  <w:style w:type="paragraph" w:customStyle="1" w:styleId="sfcommentstitle">
    <w:name w:val="sf_commentstitle"/>
    <w:basedOn w:val="Normal"/>
    <w:pPr>
      <w:spacing w:before="100" w:beforeAutospacing="1" w:after="100" w:afterAutospacing="1"/>
    </w:pPr>
    <w:rPr>
      <w:vanish/>
    </w:rPr>
  </w:style>
  <w:style w:type="paragraph" w:customStyle="1" w:styleId="profile">
    <w:name w:val="profile"/>
    <w:basedOn w:val="Normal"/>
    <w:pPr>
      <w:spacing w:before="100" w:beforeAutospacing="1" w:after="100" w:afterAutospacing="1"/>
    </w:pPr>
    <w:rPr>
      <w:sz w:val="18"/>
      <w:szCs w:val="18"/>
    </w:rPr>
  </w:style>
  <w:style w:type="paragraph" w:customStyle="1" w:styleId="profileimage">
    <w:name w:val="profileimage"/>
    <w:basedOn w:val="Normal"/>
    <w:pPr>
      <w:spacing w:before="100" w:beforeAutospacing="1" w:after="100" w:afterAutospacing="1"/>
    </w:pPr>
  </w:style>
  <w:style w:type="paragraph" w:customStyle="1" w:styleId="retoolcell">
    <w:name w:val="retoolcell"/>
    <w:basedOn w:val="Normal"/>
    <w:pPr>
      <w:spacing w:before="100" w:beforeAutospacing="1" w:after="100" w:afterAutospacing="1"/>
      <w:textAlignment w:val="top"/>
    </w:pPr>
    <w:rPr>
      <w:vanish/>
    </w:rPr>
  </w:style>
  <w:style w:type="paragraph" w:customStyle="1" w:styleId="rewrappercorner">
    <w:name w:val="rewrapper_corner"/>
    <w:basedOn w:val="Normal"/>
    <w:pPr>
      <w:spacing w:before="100" w:beforeAutospacing="1" w:after="100" w:afterAutospacing="1" w:line="15" w:lineRule="atLeast"/>
    </w:pPr>
    <w:rPr>
      <w:vanish/>
      <w:sz w:val="2"/>
      <w:szCs w:val="2"/>
    </w:rPr>
  </w:style>
  <w:style w:type="paragraph" w:customStyle="1" w:styleId="releftverticalside">
    <w:name w:val="releftverticalside"/>
    <w:basedOn w:val="Normal"/>
    <w:pPr>
      <w:spacing w:before="100" w:beforeAutospacing="1" w:after="100" w:afterAutospacing="1" w:line="15" w:lineRule="atLeast"/>
    </w:pPr>
    <w:rPr>
      <w:vanish/>
      <w:sz w:val="2"/>
      <w:szCs w:val="2"/>
    </w:rPr>
  </w:style>
  <w:style w:type="paragraph" w:customStyle="1" w:styleId="rewrappercenter">
    <w:name w:val="rewrapper_center"/>
    <w:basedOn w:val="Normal"/>
    <w:pPr>
      <w:spacing w:before="100" w:beforeAutospacing="1" w:after="100" w:afterAutospacing="1" w:line="15" w:lineRule="atLeast"/>
    </w:pPr>
    <w:rPr>
      <w:vanish/>
      <w:sz w:val="2"/>
      <w:szCs w:val="2"/>
    </w:rPr>
  </w:style>
  <w:style w:type="paragraph" w:customStyle="1" w:styleId="rerightverticalside">
    <w:name w:val="rerightverticalside"/>
    <w:basedOn w:val="Normal"/>
    <w:pPr>
      <w:spacing w:before="100" w:beforeAutospacing="1" w:after="100" w:afterAutospacing="1" w:line="15" w:lineRule="atLeast"/>
    </w:pPr>
    <w:rPr>
      <w:vanish/>
      <w:sz w:val="2"/>
      <w:szCs w:val="2"/>
    </w:rPr>
  </w:style>
  <w:style w:type="paragraph" w:customStyle="1" w:styleId="commentthankyou">
    <w:name w:val="comment_thankyou"/>
    <w:basedOn w:val="Normal"/>
    <w:pPr>
      <w:spacing w:before="100" w:beforeAutospacing="1" w:after="150"/>
    </w:pPr>
    <w:rPr>
      <w:b/>
      <w:bCs/>
    </w:rPr>
  </w:style>
  <w:style w:type="paragraph" w:customStyle="1" w:styleId="menu">
    <w:name w:val="menu"/>
    <w:basedOn w:val="Normal"/>
    <w:pPr>
      <w:spacing w:before="75"/>
    </w:pPr>
    <w:rPr>
      <w:rFonts w:ascii="Arial" w:hAnsi="Arial" w:cs="Arial"/>
      <w:sz w:val="17"/>
      <w:szCs w:val="17"/>
    </w:rPr>
  </w:style>
  <w:style w:type="paragraph" w:customStyle="1" w:styleId="menu2">
    <w:name w:val="menu2"/>
    <w:basedOn w:val="Normal"/>
    <w:pPr>
      <w:spacing w:before="100" w:beforeAutospacing="1" w:after="100" w:afterAutospacing="1"/>
    </w:pPr>
    <w:rPr>
      <w:rFonts w:ascii="Arial" w:hAnsi="Arial" w:cs="Arial"/>
      <w:sz w:val="17"/>
      <w:szCs w:val="17"/>
    </w:rPr>
  </w:style>
  <w:style w:type="paragraph" w:customStyle="1" w:styleId="t7numbs">
    <w:name w:val="t7_numbs"/>
    <w:basedOn w:val="Normal"/>
    <w:pPr>
      <w:spacing w:before="100" w:beforeAutospacing="1" w:after="100" w:afterAutospacing="1"/>
    </w:pPr>
    <w:rPr>
      <w:rFonts w:ascii="Arial" w:hAnsi="Arial" w:cs="Arial"/>
      <w:b/>
      <w:bCs/>
      <w:color w:val="666666"/>
      <w:sz w:val="42"/>
      <w:szCs w:val="42"/>
    </w:rPr>
  </w:style>
  <w:style w:type="paragraph" w:customStyle="1" w:styleId="t7labs">
    <w:name w:val="t7_labs"/>
    <w:basedOn w:val="Normal"/>
    <w:pPr>
      <w:spacing w:before="100" w:beforeAutospacing="1" w:after="100" w:afterAutospacing="1"/>
      <w:jc w:val="center"/>
    </w:pPr>
    <w:rPr>
      <w:rFonts w:ascii="Verdana" w:hAnsi="Verdana"/>
      <w:b/>
      <w:bCs/>
      <w:color w:val="66CDCC"/>
      <w:sz w:val="14"/>
      <w:szCs w:val="14"/>
    </w:rPr>
  </w:style>
  <w:style w:type="paragraph" w:customStyle="1" w:styleId="redropdownbody">
    <w:name w:val="redropdownbody"/>
    <w:basedOn w:val="Normal"/>
    <w:pPr>
      <w:shd w:val="clear" w:color="auto" w:fill="FFFFFF"/>
      <w:spacing w:before="100" w:beforeAutospacing="1" w:after="100" w:afterAutospacing="1"/>
    </w:pPr>
    <w:rPr>
      <w:rFonts w:ascii="Segoe UI" w:hAnsi="Segoe UI" w:cs="Segoe UI"/>
      <w:color w:val="000000"/>
      <w:sz w:val="18"/>
      <w:szCs w:val="18"/>
    </w:rPr>
  </w:style>
  <w:style w:type="paragraph" w:customStyle="1" w:styleId="recontentcell">
    <w:name w:val="recontentcell"/>
    <w:basedOn w:val="Normal"/>
    <w:pPr>
      <w:shd w:val="clear" w:color="auto" w:fill="FFFFFF"/>
      <w:spacing w:before="100" w:beforeAutospacing="1" w:after="100" w:afterAutospacing="1"/>
    </w:pPr>
  </w:style>
  <w:style w:type="paragraph" w:customStyle="1" w:styleId="rebottomzone">
    <w:name w:val="rebottomzone"/>
    <w:basedOn w:val="Normal"/>
    <w:pPr>
      <w:spacing w:before="100" w:beforeAutospacing="1" w:after="100" w:afterAutospacing="1"/>
      <w:jc w:val="right"/>
      <w:textAlignment w:val="bottom"/>
    </w:pPr>
  </w:style>
  <w:style w:type="paragraph" w:customStyle="1" w:styleId="retoolbarwrapper">
    <w:name w:val="retoolbarwrapper"/>
    <w:basedOn w:val="Normal"/>
    <w:pPr>
      <w:spacing w:before="30" w:after="100" w:afterAutospacing="1"/>
    </w:pPr>
  </w:style>
  <w:style w:type="paragraph" w:customStyle="1" w:styleId="retoolbar">
    <w:name w:val="retoolbar"/>
    <w:basedOn w:val="Normal"/>
    <w:pPr>
      <w:spacing w:after="15"/>
    </w:pPr>
  </w:style>
  <w:style w:type="paragraph" w:customStyle="1" w:styleId="redropdown">
    <w:name w:val="redropdown"/>
    <w:basedOn w:val="Normal"/>
    <w:pPr>
      <w:spacing w:before="100" w:beforeAutospacing="1" w:after="100" w:afterAutospacing="1"/>
    </w:pPr>
    <w:rPr>
      <w:rFonts w:ascii="Segoe UI" w:hAnsi="Segoe UI" w:cs="Segoe UI"/>
      <w:color w:val="000000"/>
      <w:sz w:val="18"/>
      <w:szCs w:val="18"/>
    </w:rPr>
  </w:style>
  <w:style w:type="paragraph" w:customStyle="1" w:styleId="remodule">
    <w:name w:val="remodule"/>
    <w:basedOn w:val="Normal"/>
    <w:pPr>
      <w:spacing w:before="100" w:beforeAutospacing="1" w:after="100" w:afterAutospacing="1"/>
    </w:pPr>
    <w:rPr>
      <w:rFonts w:ascii="Segoe UI" w:hAnsi="Segoe UI" w:cs="Segoe UI"/>
      <w:color w:val="000000"/>
      <w:sz w:val="18"/>
      <w:szCs w:val="18"/>
    </w:rPr>
  </w:style>
  <w:style w:type="paragraph" w:customStyle="1" w:styleId="reajaxspellwrapper">
    <w:name w:val="reajaxspell_wrapper"/>
    <w:basedOn w:val="Normal"/>
    <w:pPr>
      <w:spacing w:before="100" w:beforeAutospacing="1" w:after="100" w:afterAutospacing="1"/>
    </w:pPr>
    <w:rPr>
      <w:rFonts w:ascii="Segoe UI" w:hAnsi="Segoe UI" w:cs="Segoe UI"/>
      <w:color w:val="000000"/>
      <w:sz w:val="18"/>
      <w:szCs w:val="18"/>
    </w:rPr>
  </w:style>
  <w:style w:type="paragraph" w:customStyle="1" w:styleId="reajaxspellbutton">
    <w:name w:val="reajaxspell_button"/>
    <w:basedOn w:val="Normal"/>
    <w:pPr>
      <w:spacing w:before="100" w:beforeAutospacing="1" w:after="100" w:afterAutospacing="1"/>
    </w:pPr>
    <w:rPr>
      <w:rFonts w:ascii="Segoe UI" w:hAnsi="Segoe UI" w:cs="Segoe UI"/>
      <w:color w:val="000000"/>
      <w:sz w:val="18"/>
      <w:szCs w:val="18"/>
    </w:rPr>
  </w:style>
  <w:style w:type="paragraph" w:customStyle="1" w:styleId="reajaxspelladdicon">
    <w:name w:val="reajaxspell_addicon"/>
    <w:basedOn w:val="Normal"/>
    <w:pPr>
      <w:spacing w:before="30" w:after="30"/>
      <w:ind w:left="30" w:right="60"/>
    </w:pPr>
    <w:rPr>
      <w:rFonts w:ascii="Segoe UI" w:hAnsi="Segoe UI" w:cs="Segoe UI"/>
      <w:color w:val="000000"/>
      <w:sz w:val="18"/>
      <w:szCs w:val="18"/>
    </w:rPr>
  </w:style>
  <w:style w:type="paragraph" w:customStyle="1" w:styleId="reajaxspellignoreicon">
    <w:name w:val="reajaxspell_ignoreicon"/>
    <w:basedOn w:val="Normal"/>
    <w:pPr>
      <w:spacing w:before="30" w:after="30"/>
      <w:ind w:left="30" w:right="60"/>
    </w:pPr>
    <w:rPr>
      <w:rFonts w:ascii="Segoe UI" w:hAnsi="Segoe UI" w:cs="Segoe UI"/>
      <w:color w:val="000000"/>
      <w:sz w:val="18"/>
      <w:szCs w:val="18"/>
    </w:rPr>
  </w:style>
  <w:style w:type="paragraph" w:customStyle="1" w:styleId="reajaxspellokicon">
    <w:name w:val="reajaxspell_okicon"/>
    <w:basedOn w:val="Normal"/>
    <w:pPr>
      <w:spacing w:before="30" w:after="30"/>
      <w:ind w:left="30" w:right="60"/>
    </w:pPr>
    <w:rPr>
      <w:rFonts w:ascii="Segoe UI" w:hAnsi="Segoe UI" w:cs="Segoe UI"/>
      <w:color w:val="000000"/>
      <w:sz w:val="18"/>
      <w:szCs w:val="18"/>
    </w:rPr>
  </w:style>
  <w:style w:type="paragraph" w:customStyle="1" w:styleId="reajaxspellcheckseparator">
    <w:name w:val="reajaxspellcheckseparator"/>
    <w:basedOn w:val="Normal"/>
    <w:pPr>
      <w:spacing w:before="30" w:after="30"/>
      <w:ind w:left="15" w:right="15"/>
    </w:pPr>
    <w:rPr>
      <w:sz w:val="2"/>
      <w:szCs w:val="2"/>
    </w:rPr>
  </w:style>
  <w:style w:type="paragraph" w:customStyle="1" w:styleId="reajaxspellcheck">
    <w:name w:val="reajaxspellcheck"/>
    <w:basedOn w:val="Normal"/>
    <w:pPr>
      <w:spacing w:before="100" w:beforeAutospacing="1" w:after="100" w:afterAutospacing="1"/>
    </w:pPr>
  </w:style>
  <w:style w:type="paragraph" w:customStyle="1" w:styleId="remodeselected">
    <w:name w:val="remode_selected"/>
    <w:basedOn w:val="Normal"/>
    <w:pPr>
      <w:spacing w:before="100" w:beforeAutospacing="1" w:after="100" w:afterAutospacing="1"/>
    </w:pPr>
  </w:style>
  <w:style w:type="paragraph" w:customStyle="1" w:styleId="remoduledomlink">
    <w:name w:val="remodule_domlink"/>
    <w:basedOn w:val="Normal"/>
    <w:pPr>
      <w:spacing w:before="100" w:beforeAutospacing="1" w:after="100" w:afterAutospacing="1"/>
    </w:pPr>
    <w:rPr>
      <w:sz w:val="17"/>
      <w:szCs w:val="17"/>
    </w:rPr>
  </w:style>
  <w:style w:type="paragraph" w:customStyle="1" w:styleId="recolorpicker">
    <w:name w:val="recolorpicker"/>
    <w:basedOn w:val="Normal"/>
    <w:pPr>
      <w:spacing w:before="100" w:beforeAutospacing="1" w:after="100" w:afterAutospacing="1"/>
    </w:pPr>
  </w:style>
  <w:style w:type="paragraph" w:customStyle="1" w:styleId="reaccessibletool">
    <w:name w:val="reaccessibletool"/>
    <w:basedOn w:val="Normal"/>
    <w:pPr>
      <w:spacing w:before="30" w:after="15"/>
      <w:ind w:left="15" w:right="15"/>
    </w:pPr>
  </w:style>
  <w:style w:type="paragraph" w:customStyle="1" w:styleId="retextarea">
    <w:name w:val="retextarea"/>
    <w:basedOn w:val="Normal"/>
    <w:pPr>
      <w:spacing w:before="100" w:beforeAutospacing="1" w:after="100" w:afterAutospacing="1"/>
    </w:pPr>
  </w:style>
  <w:style w:type="paragraph" w:customStyle="1" w:styleId="reseparator">
    <w:name w:val="reseparator"/>
    <w:basedOn w:val="Normal"/>
    <w:pPr>
      <w:spacing w:before="100" w:beforeAutospacing="1" w:after="100" w:afterAutospacing="1"/>
    </w:pPr>
  </w:style>
  <w:style w:type="paragraph" w:customStyle="1" w:styleId="regrip">
    <w:name w:val="regrip"/>
    <w:basedOn w:val="Normal"/>
    <w:pPr>
      <w:spacing w:before="100" w:beforeAutospacing="1" w:after="100" w:afterAutospacing="1"/>
    </w:pPr>
  </w:style>
  <w:style w:type="paragraph" w:customStyle="1" w:styleId="retooltext">
    <w:name w:val="retool_text"/>
    <w:basedOn w:val="Normal"/>
    <w:pPr>
      <w:spacing w:before="100" w:beforeAutospacing="1" w:after="100" w:afterAutospacing="1"/>
    </w:pPr>
  </w:style>
  <w:style w:type="paragraph" w:customStyle="1" w:styleId="splitarrow">
    <w:name w:val="split_arrow"/>
    <w:basedOn w:val="Normal"/>
    <w:pPr>
      <w:spacing w:before="100" w:beforeAutospacing="1" w:after="100" w:afterAutospacing="1"/>
    </w:pPr>
  </w:style>
  <w:style w:type="paragraph" w:customStyle="1" w:styleId="retool">
    <w:name w:val="retool"/>
    <w:basedOn w:val="Normal"/>
    <w:pPr>
      <w:spacing w:before="100" w:beforeAutospacing="1" w:after="100" w:afterAutospacing="1"/>
    </w:pPr>
  </w:style>
  <w:style w:type="paragraph" w:customStyle="1" w:styleId="resplitbutton">
    <w:name w:val="resplitbutton"/>
    <w:basedOn w:val="Normal"/>
    <w:pPr>
      <w:spacing w:before="100" w:beforeAutospacing="1" w:after="100" w:afterAutospacing="1"/>
    </w:pPr>
  </w:style>
  <w:style w:type="paragraph" w:customStyle="1" w:styleId="recolorpickerfooter">
    <w:name w:val="recolorpickerfooter"/>
    <w:basedOn w:val="Normal"/>
    <w:pPr>
      <w:spacing w:before="100" w:beforeAutospacing="1" w:after="100" w:afterAutospacing="1"/>
    </w:pPr>
  </w:style>
  <w:style w:type="paragraph" w:customStyle="1" w:styleId="rwtopresize">
    <w:name w:val="rwtopresize"/>
    <w:basedOn w:val="Normal"/>
    <w:pPr>
      <w:spacing w:before="100" w:beforeAutospacing="1" w:after="100" w:afterAutospacing="1"/>
    </w:pPr>
  </w:style>
  <w:style w:type="paragraph" w:customStyle="1" w:styleId="rwstatusbar">
    <w:name w:val="rwstatusbar"/>
    <w:basedOn w:val="Normal"/>
    <w:pPr>
      <w:spacing w:before="100" w:beforeAutospacing="1" w:after="100" w:afterAutospacing="1"/>
    </w:pPr>
  </w:style>
  <w:style w:type="paragraph" w:customStyle="1" w:styleId="rwcorner">
    <w:name w:val="rwcorner"/>
    <w:basedOn w:val="Normal"/>
    <w:pPr>
      <w:spacing w:before="100" w:beforeAutospacing="1" w:after="100" w:afterAutospacing="1"/>
    </w:pPr>
  </w:style>
  <w:style w:type="paragraph" w:customStyle="1" w:styleId="rwtopleft">
    <w:name w:val="rwtopleft"/>
    <w:basedOn w:val="Normal"/>
    <w:pPr>
      <w:spacing w:before="100" w:beforeAutospacing="1" w:after="100" w:afterAutospacing="1"/>
    </w:pPr>
  </w:style>
  <w:style w:type="paragraph" w:customStyle="1" w:styleId="rwtopright">
    <w:name w:val="rwtopright"/>
    <w:basedOn w:val="Normal"/>
    <w:pPr>
      <w:spacing w:before="100" w:beforeAutospacing="1" w:after="100" w:afterAutospacing="1"/>
    </w:pPr>
  </w:style>
  <w:style w:type="paragraph" w:customStyle="1" w:styleId="rwtitlebar">
    <w:name w:val="rwtitlebar"/>
    <w:basedOn w:val="Normal"/>
    <w:pPr>
      <w:spacing w:before="100" w:beforeAutospacing="1" w:after="100" w:afterAutospacing="1"/>
    </w:pPr>
  </w:style>
  <w:style w:type="paragraph" w:customStyle="1" w:styleId="rwfooterleft">
    <w:name w:val="rwfooterleft"/>
    <w:basedOn w:val="Normal"/>
    <w:pPr>
      <w:spacing w:before="100" w:beforeAutospacing="1" w:after="100" w:afterAutospacing="1"/>
    </w:pPr>
  </w:style>
  <w:style w:type="paragraph" w:customStyle="1" w:styleId="rwfooterright">
    <w:name w:val="rwfooterright"/>
    <w:basedOn w:val="Normal"/>
    <w:pPr>
      <w:spacing w:before="100" w:beforeAutospacing="1" w:after="100" w:afterAutospacing="1"/>
    </w:pPr>
  </w:style>
  <w:style w:type="paragraph" w:customStyle="1" w:styleId="rwfootercenter">
    <w:name w:val="rwfootercenter"/>
    <w:basedOn w:val="Normal"/>
    <w:pPr>
      <w:spacing w:before="100" w:beforeAutospacing="1" w:after="100" w:afterAutospacing="1"/>
    </w:pPr>
  </w:style>
  <w:style w:type="paragraph" w:customStyle="1" w:styleId="rwbodyleft">
    <w:name w:val="rwbodyleft"/>
    <w:basedOn w:val="Normal"/>
    <w:pPr>
      <w:spacing w:before="100" w:beforeAutospacing="1" w:after="100" w:afterAutospacing="1"/>
    </w:pPr>
  </w:style>
  <w:style w:type="paragraph" w:customStyle="1" w:styleId="rwbodyright">
    <w:name w:val="rwbodyright"/>
    <w:basedOn w:val="Normal"/>
    <w:pPr>
      <w:spacing w:before="100" w:beforeAutospacing="1" w:after="100" w:afterAutospacing="1"/>
    </w:pPr>
  </w:style>
  <w:style w:type="paragraph" w:customStyle="1" w:styleId="rwtitlebarcontrols">
    <w:name w:val="rwtitlebarcontrols"/>
    <w:basedOn w:val="Normal"/>
    <w:pPr>
      <w:spacing w:before="100" w:beforeAutospacing="1" w:after="100" w:afterAutospacing="1"/>
    </w:pPr>
  </w:style>
  <w:style w:type="paragraph" w:customStyle="1" w:styleId="rwwindowcontent">
    <w:name w:val="rwwindowcontent"/>
    <w:basedOn w:val="Normal"/>
    <w:pPr>
      <w:spacing w:before="100" w:beforeAutospacing="1" w:after="100" w:afterAutospacing="1"/>
    </w:pPr>
  </w:style>
  <w:style w:type="paragraph" w:customStyle="1" w:styleId="rwcontrolbuttons">
    <w:name w:val="rwcontrolbuttons"/>
    <w:basedOn w:val="Normal"/>
    <w:pPr>
      <w:spacing w:before="100" w:beforeAutospacing="1" w:after="100" w:afterAutospacing="1"/>
    </w:pPr>
  </w:style>
  <w:style w:type="paragraph" w:customStyle="1" w:styleId="rwicon">
    <w:name w:val="rwicon"/>
    <w:basedOn w:val="Normal"/>
    <w:pPr>
      <w:spacing w:before="100" w:beforeAutospacing="1" w:after="100" w:afterAutospacing="1"/>
    </w:pPr>
  </w:style>
  <w:style w:type="paragraph" w:customStyle="1" w:styleId="rwdialogpopup">
    <w:name w:val="rwdialogpopup"/>
    <w:basedOn w:val="Normal"/>
    <w:pPr>
      <w:spacing w:before="100" w:beforeAutospacing="1" w:after="100" w:afterAutospacing="1"/>
    </w:pPr>
  </w:style>
  <w:style w:type="paragraph" w:customStyle="1" w:styleId="rwpopupbutton">
    <w:name w:val="rwpopupbutton"/>
    <w:basedOn w:val="Normal"/>
    <w:pPr>
      <w:spacing w:before="100" w:beforeAutospacing="1" w:after="100" w:afterAutospacing="1"/>
    </w:pPr>
  </w:style>
  <w:style w:type="paragraph" w:customStyle="1" w:styleId="rwdialogtext">
    <w:name w:val="rwdialogtext"/>
    <w:basedOn w:val="Normal"/>
    <w:pPr>
      <w:spacing w:before="100" w:beforeAutospacing="1" w:after="100" w:afterAutospacing="1"/>
    </w:pPr>
  </w:style>
  <w:style w:type="paragraph" w:customStyle="1" w:styleId="rwdialoginput">
    <w:name w:val="rwdialoginput"/>
    <w:basedOn w:val="Normal"/>
    <w:pPr>
      <w:spacing w:before="100" w:beforeAutospacing="1" w:after="100" w:afterAutospacing="1"/>
    </w:pPr>
  </w:style>
  <w:style w:type="paragraph" w:customStyle="1" w:styleId="recustomlinksicon">
    <w:name w:val="recustomlinksicon"/>
    <w:basedOn w:val="Normal"/>
    <w:pPr>
      <w:spacing w:before="100" w:beforeAutospacing="1" w:after="100" w:afterAutospacing="1"/>
    </w:pPr>
  </w:style>
  <w:style w:type="paragraph" w:customStyle="1" w:styleId="reellipsistext">
    <w:name w:val="reellipsistext"/>
    <w:basedOn w:val="Normal"/>
    <w:pPr>
      <w:spacing w:before="100" w:beforeAutospacing="1" w:after="100" w:afterAutospacing="1"/>
    </w:pPr>
  </w:style>
  <w:style w:type="paragraph" w:customStyle="1" w:styleId="rebuttontext">
    <w:name w:val="rebutton_text"/>
    <w:basedOn w:val="Normal"/>
    <w:pPr>
      <w:spacing w:before="100" w:beforeAutospacing="1" w:after="100" w:afterAutospacing="1"/>
    </w:pPr>
  </w:style>
  <w:style w:type="paragraph" w:customStyle="1" w:styleId="redarkcolor">
    <w:name w:val="redarkcolor"/>
    <w:basedOn w:val="Normal"/>
    <w:pPr>
      <w:spacing w:before="100" w:beforeAutospacing="1" w:after="100" w:afterAutospacing="1"/>
    </w:pPr>
  </w:style>
  <w:style w:type="paragraph" w:customStyle="1" w:styleId="relightcolor">
    <w:name w:val="relightcolor"/>
    <w:basedOn w:val="Normal"/>
    <w:pPr>
      <w:spacing w:before="100" w:beforeAutospacing="1" w:after="100" w:afterAutospacing="1"/>
    </w:pPr>
  </w:style>
  <w:style w:type="paragraph" w:customStyle="1" w:styleId="rwloading">
    <w:name w:val="rwloading"/>
    <w:basedOn w:val="Normal"/>
    <w:pPr>
      <w:spacing w:before="100" w:beforeAutospacing="1" w:after="100" w:afterAutospacing="1"/>
    </w:pPr>
  </w:style>
  <w:style w:type="paragraph" w:customStyle="1" w:styleId="radconfirm">
    <w:name w:val="radconfirm"/>
    <w:basedOn w:val="Normal"/>
    <w:pPr>
      <w:spacing w:before="100" w:beforeAutospacing="1" w:after="100" w:afterAutospacing="1"/>
    </w:pPr>
  </w:style>
  <w:style w:type="paragraph" w:customStyle="1" w:styleId="radalert">
    <w:name w:val="radalert"/>
    <w:basedOn w:val="Normal"/>
    <w:pPr>
      <w:spacing w:before="100" w:beforeAutospacing="1" w:after="100" w:afterAutospacing="1"/>
    </w:pPr>
  </w:style>
  <w:style w:type="paragraph" w:customStyle="1" w:styleId="radprompt">
    <w:name w:val="radprompt"/>
    <w:basedOn w:val="Normal"/>
    <w:pPr>
      <w:spacing w:before="100" w:beforeAutospacing="1" w:after="100" w:afterAutospacing="1"/>
    </w:pPr>
  </w:style>
  <w:style w:type="paragraph" w:customStyle="1" w:styleId="rwouterspan">
    <w:name w:val="rwouterspan"/>
    <w:basedOn w:val="Normal"/>
    <w:pPr>
      <w:spacing w:before="100" w:beforeAutospacing="1" w:after="100" w:afterAutospacing="1"/>
    </w:pPr>
  </w:style>
  <w:style w:type="paragraph" w:customStyle="1" w:styleId="rwinnerspan">
    <w:name w:val="rwinnerspan"/>
    <w:basedOn w:val="Normal"/>
    <w:pPr>
      <w:spacing w:before="100" w:beforeAutospacing="1" w:after="100" w:afterAutospacing="1"/>
    </w:pPr>
  </w:style>
  <w:style w:type="paragraph" w:customStyle="1" w:styleId="retooldisabled">
    <w:name w:val="retool_disabled"/>
    <w:basedOn w:val="Normal"/>
    <w:pPr>
      <w:spacing w:before="100" w:beforeAutospacing="1" w:after="100" w:afterAutospacing="1"/>
    </w:pPr>
  </w:style>
  <w:style w:type="paragraph" w:customStyle="1" w:styleId="rewrapper">
    <w:name w:val="rewrapper"/>
    <w:basedOn w:val="Normal"/>
    <w:pPr>
      <w:spacing w:before="100" w:beforeAutospacing="1" w:after="100" w:afterAutospacing="1"/>
    </w:pPr>
  </w:style>
  <w:style w:type="paragraph" w:customStyle="1" w:styleId="retlbvertical">
    <w:name w:val="retlbvertical"/>
    <w:basedOn w:val="Normal"/>
    <w:pPr>
      <w:spacing w:before="100" w:beforeAutospacing="1" w:after="100" w:afterAutospacing="1"/>
    </w:pPr>
    <w:rPr>
      <w:vanish/>
    </w:rPr>
  </w:style>
  <w:style w:type="paragraph" w:customStyle="1" w:styleId="recustomlinks">
    <w:name w:val="recustomlinks"/>
    <w:basedOn w:val="Normal"/>
  </w:style>
  <w:style w:type="paragraph" w:customStyle="1" w:styleId="reeditormodes">
    <w:name w:val="reeditormodes"/>
    <w:basedOn w:val="Normal"/>
    <w:pPr>
      <w:spacing w:before="100" w:beforeAutospacing="1" w:after="100" w:afterAutospacing="1"/>
    </w:pPr>
  </w:style>
  <w:style w:type="paragraph" w:customStyle="1" w:styleId="reinserttable">
    <w:name w:val="reinserttable"/>
    <w:basedOn w:val="Normal"/>
    <w:pPr>
      <w:spacing w:before="100" w:beforeAutospacing="1" w:after="100" w:afterAutospacing="1"/>
    </w:pPr>
  </w:style>
  <w:style w:type="paragraph" w:customStyle="1" w:styleId="rttop">
    <w:name w:val="rttop"/>
    <w:basedOn w:val="Normal"/>
    <w:pPr>
      <w:spacing w:before="100" w:beforeAutospacing="1" w:after="100" w:afterAutospacing="1"/>
    </w:pPr>
  </w:style>
  <w:style w:type="paragraph" w:customStyle="1" w:styleId="defaultradeditor">
    <w:name w:val="default_radeditor"/>
    <w:basedOn w:val="Normal"/>
    <w:pPr>
      <w:spacing w:before="100" w:beforeAutospacing="1" w:after="100" w:afterAutospacing="1"/>
    </w:pPr>
  </w:style>
  <w:style w:type="character" w:customStyle="1" w:styleId="rebuttontext1">
    <w:name w:val="rebutton_text1"/>
    <w:rPr>
      <w:sz w:val="24"/>
      <w:szCs w:val="24"/>
      <w:bdr w:val="none" w:sz="0" w:space="0" w:color="auto" w:frame="1"/>
    </w:rPr>
  </w:style>
  <w:style w:type="paragraph" w:customStyle="1" w:styleId="rttop1">
    <w:name w:val="rttop1"/>
    <w:basedOn w:val="Normal"/>
    <w:pPr>
      <w:spacing w:before="100" w:beforeAutospacing="1" w:after="100" w:afterAutospacing="1"/>
    </w:pPr>
  </w:style>
  <w:style w:type="paragraph" w:customStyle="1" w:styleId="defaultradeditor1">
    <w:name w:val="default_radeditor1"/>
    <w:basedOn w:val="Normal"/>
    <w:pPr>
      <w:shd w:val="clear" w:color="auto" w:fill="FFFFFF"/>
      <w:spacing w:before="100" w:beforeAutospacing="1" w:after="100" w:afterAutospacing="1"/>
    </w:pPr>
  </w:style>
  <w:style w:type="paragraph" w:customStyle="1" w:styleId="recontentcell1">
    <w:name w:val="recontentcell1"/>
    <w:basedOn w:val="Normal"/>
    <w:pPr>
      <w:pBdr>
        <w:top w:val="single" w:sz="6" w:space="0" w:color="CFCFD0"/>
        <w:left w:val="single" w:sz="6" w:space="0" w:color="CFCFD0"/>
        <w:bottom w:val="single" w:sz="6" w:space="0" w:color="CFCFD0"/>
        <w:right w:val="single" w:sz="6" w:space="0" w:color="CFCFD0"/>
      </w:pBdr>
      <w:shd w:val="clear" w:color="auto" w:fill="FFFFFF"/>
      <w:spacing w:before="100" w:beforeAutospacing="1" w:after="100" w:afterAutospacing="1"/>
    </w:pPr>
  </w:style>
  <w:style w:type="paragraph" w:customStyle="1" w:styleId="rewrapper1">
    <w:name w:val="rewrapper1"/>
    <w:basedOn w:val="Normal"/>
    <w:pPr>
      <w:shd w:val="clear" w:color="auto" w:fill="FFFFFF"/>
      <w:spacing w:before="100" w:beforeAutospacing="1" w:after="100" w:afterAutospacing="1"/>
    </w:pPr>
  </w:style>
  <w:style w:type="paragraph" w:customStyle="1" w:styleId="commentsbutton1">
    <w:name w:val="commentsbutton1"/>
    <w:basedOn w:val="Normal"/>
    <w:pPr>
      <w:spacing w:before="885" w:after="300"/>
      <w:ind w:left="150"/>
    </w:pPr>
  </w:style>
  <w:style w:type="character" w:customStyle="1" w:styleId="rebuttontext2">
    <w:name w:val="rebutton_text2"/>
    <w:rPr>
      <w:rFonts w:ascii="Segoe UI" w:hAnsi="Segoe UI" w:cs="Segoe UI" w:hint="default"/>
      <w:i w:val="0"/>
      <w:iCs w:val="0"/>
      <w:strike w:val="0"/>
      <w:dstrike w:val="0"/>
      <w:vanish w:val="0"/>
      <w:webHidden w:val="0"/>
      <w:color w:val="000000"/>
      <w:sz w:val="18"/>
      <w:szCs w:val="18"/>
      <w:u w:val="none"/>
      <w:effect w:val="none"/>
      <w:bdr w:val="none" w:sz="0" w:space="0" w:color="auto" w:frame="1"/>
      <w:specVanish w:val="0"/>
    </w:rPr>
  </w:style>
  <w:style w:type="paragraph" w:customStyle="1" w:styleId="retextarea1">
    <w:name w:val="retextarea1"/>
    <w:basedOn w:val="Normal"/>
    <w:pPr>
      <w:spacing w:before="100" w:beforeAutospacing="1" w:after="100" w:afterAutospacing="1"/>
    </w:pPr>
    <w:rPr>
      <w:sz w:val="17"/>
      <w:szCs w:val="17"/>
    </w:rPr>
  </w:style>
  <w:style w:type="paragraph" w:customStyle="1" w:styleId="reseparator1">
    <w:name w:val="reseparator1"/>
    <w:basedOn w:val="Normal"/>
    <w:pPr>
      <w:spacing w:before="100" w:beforeAutospacing="1" w:after="100" w:afterAutospacing="1"/>
    </w:pPr>
    <w:rPr>
      <w:sz w:val="2"/>
      <w:szCs w:val="2"/>
    </w:rPr>
  </w:style>
  <w:style w:type="paragraph" w:customStyle="1" w:styleId="regrip1">
    <w:name w:val="regrip1"/>
    <w:basedOn w:val="Normal"/>
    <w:pPr>
      <w:spacing w:before="100" w:beforeAutospacing="1" w:after="100" w:afterAutospacing="1"/>
    </w:pPr>
    <w:rPr>
      <w:sz w:val="2"/>
      <w:szCs w:val="2"/>
    </w:rPr>
  </w:style>
  <w:style w:type="paragraph" w:customStyle="1" w:styleId="retooltext1">
    <w:name w:val="retool_text1"/>
    <w:basedOn w:val="Normal"/>
    <w:pPr>
      <w:spacing w:before="15" w:after="15"/>
      <w:ind w:left="15" w:right="15"/>
    </w:pPr>
  </w:style>
  <w:style w:type="paragraph" w:customStyle="1" w:styleId="rebuttontext3">
    <w:name w:val="rebutton_text3"/>
    <w:basedOn w:val="Normal"/>
    <w:pPr>
      <w:spacing w:before="100" w:beforeAutospacing="1" w:after="100" w:afterAutospacing="1"/>
    </w:pPr>
    <w:rPr>
      <w:color w:val="000000"/>
    </w:rPr>
  </w:style>
  <w:style w:type="paragraph" w:customStyle="1" w:styleId="splitarrow1">
    <w:name w:val="split_arrow1"/>
    <w:basedOn w:val="Normal"/>
    <w:pPr>
      <w:spacing w:before="100" w:beforeAutospacing="1" w:after="100" w:afterAutospacing="1"/>
      <w:ind w:left="15"/>
    </w:pPr>
  </w:style>
  <w:style w:type="paragraph" w:customStyle="1" w:styleId="regrip2">
    <w:name w:val="regrip2"/>
    <w:basedOn w:val="Normal"/>
    <w:pPr>
      <w:spacing w:before="100" w:beforeAutospacing="1" w:after="100" w:afterAutospacing="1" w:line="15" w:lineRule="atLeast"/>
    </w:pPr>
    <w:rPr>
      <w:sz w:val="2"/>
      <w:szCs w:val="2"/>
    </w:rPr>
  </w:style>
  <w:style w:type="paragraph" w:customStyle="1" w:styleId="retool1">
    <w:name w:val="retool1"/>
    <w:basedOn w:val="Normal"/>
    <w:pPr>
      <w:ind w:left="15"/>
    </w:pPr>
  </w:style>
  <w:style w:type="paragraph" w:customStyle="1" w:styleId="reseparator2">
    <w:name w:val="reseparator2"/>
    <w:basedOn w:val="Normal"/>
    <w:pPr>
      <w:spacing w:before="100" w:beforeAutospacing="1" w:after="100" w:afterAutospacing="1" w:line="15" w:lineRule="atLeast"/>
    </w:pPr>
    <w:rPr>
      <w:sz w:val="2"/>
      <w:szCs w:val="2"/>
    </w:rPr>
  </w:style>
  <w:style w:type="paragraph" w:customStyle="1" w:styleId="retooltext2">
    <w:name w:val="retool_text2"/>
    <w:basedOn w:val="Normal"/>
    <w:pPr>
      <w:spacing w:before="100" w:beforeAutospacing="1" w:after="100" w:afterAutospacing="1"/>
    </w:pPr>
  </w:style>
  <w:style w:type="paragraph" w:customStyle="1" w:styleId="resplitbutton1">
    <w:name w:val="resplitbutton1"/>
    <w:basedOn w:val="Normal"/>
    <w:pPr>
      <w:spacing w:before="100" w:beforeAutospacing="1" w:after="100" w:afterAutospacing="1"/>
    </w:pPr>
  </w:style>
  <w:style w:type="paragraph" w:customStyle="1" w:styleId="rebuttontext4">
    <w:name w:val="rebutton_text4"/>
    <w:basedOn w:val="Normal"/>
    <w:pPr>
      <w:spacing w:before="100" w:beforeAutospacing="1" w:after="100" w:afterAutospacing="1"/>
    </w:pPr>
    <w:rPr>
      <w:vanish/>
    </w:rPr>
  </w:style>
  <w:style w:type="paragraph" w:customStyle="1" w:styleId="redropdown1">
    <w:name w:val="redropdown1"/>
    <w:basedOn w:val="Normal"/>
    <w:pPr>
      <w:spacing w:before="100" w:beforeAutospacing="1" w:after="100" w:afterAutospacing="1"/>
      <w:ind w:left="15"/>
    </w:pPr>
    <w:rPr>
      <w:rFonts w:ascii="Segoe UI" w:hAnsi="Segoe UI" w:cs="Segoe UI"/>
      <w:color w:val="000000"/>
      <w:sz w:val="18"/>
      <w:szCs w:val="18"/>
    </w:rPr>
  </w:style>
  <w:style w:type="paragraph" w:customStyle="1" w:styleId="redropdown2">
    <w:name w:val="redropdown2"/>
    <w:basedOn w:val="Normal"/>
    <w:pPr>
      <w:spacing w:before="100" w:beforeAutospacing="1" w:after="100" w:afterAutospacing="1"/>
      <w:ind w:left="15"/>
    </w:pPr>
    <w:rPr>
      <w:rFonts w:ascii="Segoe UI" w:hAnsi="Segoe UI" w:cs="Segoe UI"/>
      <w:color w:val="000000"/>
      <w:sz w:val="18"/>
      <w:szCs w:val="18"/>
    </w:rPr>
  </w:style>
  <w:style w:type="paragraph" w:customStyle="1" w:styleId="retooldisabled1">
    <w:name w:val="retool_disabled1"/>
    <w:basedOn w:val="Normal"/>
    <w:pPr>
      <w:spacing w:before="100" w:beforeAutospacing="1" w:after="100" w:afterAutospacing="1"/>
    </w:pPr>
  </w:style>
  <w:style w:type="paragraph" w:customStyle="1" w:styleId="rebuttontext5">
    <w:name w:val="rebutton_text5"/>
    <w:basedOn w:val="Normal"/>
    <w:pPr>
      <w:spacing w:before="100" w:beforeAutospacing="1" w:after="100" w:afterAutospacing="1"/>
    </w:pPr>
  </w:style>
  <w:style w:type="paragraph" w:customStyle="1" w:styleId="retoolbar1">
    <w:name w:val="retoolbar1"/>
    <w:basedOn w:val="Normal"/>
    <w:pPr>
      <w:spacing w:after="15"/>
    </w:pPr>
  </w:style>
  <w:style w:type="paragraph" w:customStyle="1" w:styleId="recustomlinksicon1">
    <w:name w:val="recustomlinksicon1"/>
    <w:basedOn w:val="Normal"/>
    <w:pPr>
      <w:spacing w:before="30"/>
      <w:ind w:right="60"/>
    </w:pPr>
    <w:rPr>
      <w:sz w:val="2"/>
      <w:szCs w:val="2"/>
    </w:rPr>
  </w:style>
  <w:style w:type="paragraph" w:customStyle="1" w:styleId="reellipsistext1">
    <w:name w:val="reellipsistext1"/>
    <w:basedOn w:val="Normal"/>
    <w:pPr>
      <w:spacing w:before="100" w:beforeAutospacing="1" w:after="100" w:afterAutospacing="1"/>
    </w:pPr>
  </w:style>
  <w:style w:type="paragraph" w:customStyle="1" w:styleId="redropdown3">
    <w:name w:val="redropdown3"/>
    <w:basedOn w:val="Normal"/>
    <w:pPr>
      <w:spacing w:before="15"/>
    </w:pPr>
    <w:rPr>
      <w:rFonts w:ascii="Segoe UI" w:hAnsi="Segoe UI" w:cs="Segoe UI"/>
      <w:color w:val="000000"/>
      <w:sz w:val="18"/>
      <w:szCs w:val="18"/>
    </w:rPr>
  </w:style>
  <w:style w:type="paragraph" w:customStyle="1" w:styleId="retool2">
    <w:name w:val="retool2"/>
    <w:basedOn w:val="Normal"/>
    <w:pPr>
      <w:spacing w:before="15"/>
    </w:pPr>
  </w:style>
  <w:style w:type="paragraph" w:customStyle="1" w:styleId="resplitbutton2">
    <w:name w:val="resplitbutton2"/>
    <w:basedOn w:val="Normal"/>
    <w:pPr>
      <w:spacing w:before="15"/>
    </w:pPr>
  </w:style>
  <w:style w:type="paragraph" w:customStyle="1" w:styleId="recolorpickerfooter1">
    <w:name w:val="recolorpickerfooter1"/>
    <w:basedOn w:val="Normal"/>
  </w:style>
  <w:style w:type="paragraph" w:customStyle="1" w:styleId="redarkcolor1">
    <w:name w:val="redarkcolor1"/>
    <w:basedOn w:val="Normal"/>
    <w:pPr>
      <w:shd w:val="clear" w:color="auto" w:fill="000000"/>
      <w:spacing w:before="100" w:beforeAutospacing="1" w:after="100" w:afterAutospacing="1"/>
    </w:pPr>
    <w:rPr>
      <w:color w:val="FFFFFF"/>
    </w:rPr>
  </w:style>
  <w:style w:type="paragraph" w:customStyle="1" w:styleId="relightcolor1">
    <w:name w:val="relightcolor1"/>
    <w:basedOn w:val="Normal"/>
    <w:pPr>
      <w:shd w:val="clear" w:color="auto" w:fill="FFFFFF"/>
      <w:spacing w:before="100" w:beforeAutospacing="1" w:after="100" w:afterAutospacing="1"/>
    </w:pPr>
    <w:rPr>
      <w:color w:val="000000"/>
    </w:rPr>
  </w:style>
  <w:style w:type="paragraph" w:customStyle="1" w:styleId="retlbvertical1">
    <w:name w:val="retlbvertical1"/>
    <w:basedOn w:val="Normal"/>
    <w:pPr>
      <w:spacing w:before="100" w:beforeAutospacing="1" w:after="100" w:afterAutospacing="1"/>
    </w:pPr>
    <w:rPr>
      <w:vanish/>
    </w:rPr>
  </w:style>
  <w:style w:type="paragraph" w:customStyle="1" w:styleId="retooltext3">
    <w:name w:val="retool_text3"/>
    <w:basedOn w:val="Normal"/>
    <w:pPr>
      <w:spacing w:before="15" w:after="15"/>
      <w:ind w:left="15" w:right="15"/>
    </w:pPr>
  </w:style>
  <w:style w:type="paragraph" w:customStyle="1" w:styleId="retooltext4">
    <w:name w:val="retool_text4"/>
    <w:basedOn w:val="Normal"/>
    <w:pPr>
      <w:spacing w:before="15" w:after="15"/>
      <w:ind w:left="15" w:right="15"/>
    </w:pPr>
    <w:rPr>
      <w:u w:val="single"/>
    </w:rPr>
  </w:style>
  <w:style w:type="paragraph" w:customStyle="1" w:styleId="retoolbar2">
    <w:name w:val="retoolbar2"/>
    <w:basedOn w:val="Normal"/>
    <w:pPr>
      <w:spacing w:after="15"/>
    </w:pPr>
  </w:style>
  <w:style w:type="paragraph" w:customStyle="1" w:styleId="retool3">
    <w:name w:val="retool3"/>
    <w:basedOn w:val="Normal"/>
  </w:style>
  <w:style w:type="character" w:customStyle="1" w:styleId="rebuttontext6">
    <w:name w:val="rebutton_text6"/>
    <w:rPr>
      <w:sz w:val="24"/>
      <w:szCs w:val="24"/>
      <w:bdr w:val="none" w:sz="0" w:space="0" w:color="auto" w:frame="1"/>
    </w:rPr>
  </w:style>
  <w:style w:type="paragraph" w:customStyle="1" w:styleId="rwtopresize1">
    <w:name w:val="rwtopresize1"/>
    <w:basedOn w:val="Normal"/>
    <w:pPr>
      <w:spacing w:before="100" w:beforeAutospacing="1" w:after="100" w:afterAutospacing="1" w:line="60" w:lineRule="atLeast"/>
    </w:pPr>
    <w:rPr>
      <w:sz w:val="2"/>
      <w:szCs w:val="2"/>
    </w:rPr>
  </w:style>
  <w:style w:type="paragraph" w:customStyle="1" w:styleId="rwcorner1">
    <w:name w:val="rwcorner1"/>
    <w:basedOn w:val="Normal"/>
    <w:pPr>
      <w:spacing w:before="100" w:beforeAutospacing="1" w:after="100" w:afterAutospacing="1"/>
    </w:pPr>
  </w:style>
  <w:style w:type="paragraph" w:customStyle="1" w:styleId="rwstatusbar1">
    <w:name w:val="rwstatusbar1"/>
    <w:basedOn w:val="Normal"/>
    <w:pPr>
      <w:spacing w:before="100" w:beforeAutospacing="1" w:after="100" w:afterAutospacing="1"/>
    </w:pPr>
  </w:style>
  <w:style w:type="paragraph" w:customStyle="1" w:styleId="rwcorner2">
    <w:name w:val="rwcorner2"/>
    <w:basedOn w:val="Normal"/>
    <w:pPr>
      <w:spacing w:before="100" w:beforeAutospacing="1" w:after="100" w:afterAutospacing="1"/>
    </w:pPr>
  </w:style>
  <w:style w:type="paragraph" w:customStyle="1" w:styleId="rwtopleft1">
    <w:name w:val="rwtopleft1"/>
    <w:basedOn w:val="Normal"/>
    <w:pPr>
      <w:spacing w:before="100" w:beforeAutospacing="1" w:after="100" w:afterAutospacing="1" w:line="15" w:lineRule="atLeast"/>
    </w:pPr>
    <w:rPr>
      <w:sz w:val="2"/>
      <w:szCs w:val="2"/>
    </w:rPr>
  </w:style>
  <w:style w:type="paragraph" w:customStyle="1" w:styleId="rwtopright1">
    <w:name w:val="rwtopright1"/>
    <w:basedOn w:val="Normal"/>
    <w:pPr>
      <w:spacing w:before="100" w:beforeAutospacing="1" w:after="100" w:afterAutospacing="1" w:line="15" w:lineRule="atLeast"/>
    </w:pPr>
    <w:rPr>
      <w:sz w:val="2"/>
      <w:szCs w:val="2"/>
    </w:rPr>
  </w:style>
  <w:style w:type="paragraph" w:customStyle="1" w:styleId="rwtitlebar1">
    <w:name w:val="rwtitlebar1"/>
    <w:basedOn w:val="Normal"/>
    <w:pPr>
      <w:spacing w:before="100" w:beforeAutospacing="1" w:after="100" w:afterAutospacing="1" w:line="15" w:lineRule="atLeast"/>
    </w:pPr>
    <w:rPr>
      <w:sz w:val="2"/>
      <w:szCs w:val="2"/>
    </w:rPr>
  </w:style>
  <w:style w:type="paragraph" w:customStyle="1" w:styleId="rwfooterleft1">
    <w:name w:val="rwfooterleft1"/>
    <w:basedOn w:val="Normal"/>
    <w:pPr>
      <w:spacing w:before="100" w:beforeAutospacing="1" w:after="100" w:afterAutospacing="1" w:line="15" w:lineRule="atLeast"/>
    </w:pPr>
    <w:rPr>
      <w:sz w:val="2"/>
      <w:szCs w:val="2"/>
    </w:rPr>
  </w:style>
  <w:style w:type="paragraph" w:customStyle="1" w:styleId="rwfooterright1">
    <w:name w:val="rwfooterright1"/>
    <w:basedOn w:val="Normal"/>
    <w:pPr>
      <w:spacing w:before="100" w:beforeAutospacing="1" w:after="100" w:afterAutospacing="1" w:line="15" w:lineRule="atLeast"/>
    </w:pPr>
    <w:rPr>
      <w:sz w:val="2"/>
      <w:szCs w:val="2"/>
    </w:rPr>
  </w:style>
  <w:style w:type="paragraph" w:customStyle="1" w:styleId="rwfootercenter1">
    <w:name w:val="rwfootercenter1"/>
    <w:basedOn w:val="Normal"/>
    <w:pPr>
      <w:spacing w:before="100" w:beforeAutospacing="1" w:after="100" w:afterAutospacing="1" w:line="15" w:lineRule="atLeast"/>
    </w:pPr>
    <w:rPr>
      <w:sz w:val="2"/>
      <w:szCs w:val="2"/>
    </w:rPr>
  </w:style>
  <w:style w:type="paragraph" w:customStyle="1" w:styleId="rwbodyleft1">
    <w:name w:val="rwbodyleft1"/>
    <w:basedOn w:val="Normal"/>
    <w:pPr>
      <w:spacing w:before="100" w:beforeAutospacing="1" w:after="100" w:afterAutospacing="1"/>
    </w:pPr>
  </w:style>
  <w:style w:type="paragraph" w:customStyle="1" w:styleId="rwbodyright1">
    <w:name w:val="rwbodyright1"/>
    <w:basedOn w:val="Normal"/>
    <w:pPr>
      <w:spacing w:before="100" w:beforeAutospacing="1" w:after="100" w:afterAutospacing="1"/>
    </w:pPr>
  </w:style>
  <w:style w:type="paragraph" w:customStyle="1" w:styleId="rwtitlebar2">
    <w:name w:val="rwtitlebar2"/>
    <w:basedOn w:val="Normal"/>
    <w:pPr>
      <w:spacing w:before="100" w:beforeAutospacing="1" w:after="100" w:afterAutospacing="1" w:line="15" w:lineRule="atLeast"/>
    </w:pPr>
    <w:rPr>
      <w:sz w:val="2"/>
      <w:szCs w:val="2"/>
    </w:rPr>
  </w:style>
  <w:style w:type="paragraph" w:customStyle="1" w:styleId="rwtitlebarcontrols1">
    <w:name w:val="rwtitlebarcontrols1"/>
    <w:basedOn w:val="Normal"/>
    <w:pPr>
      <w:spacing w:before="100" w:beforeAutospacing="1" w:after="100" w:afterAutospacing="1"/>
    </w:pPr>
  </w:style>
  <w:style w:type="paragraph" w:customStyle="1" w:styleId="rwwindowcontent1">
    <w:name w:val="rwwindowcontent1"/>
    <w:basedOn w:val="Normal"/>
    <w:pPr>
      <w:shd w:val="clear" w:color="auto" w:fill="FFFFFF"/>
      <w:spacing w:before="100" w:beforeAutospacing="1" w:after="100" w:afterAutospacing="1"/>
    </w:pPr>
  </w:style>
  <w:style w:type="paragraph" w:customStyle="1" w:styleId="rwloading1">
    <w:name w:val="rwloading1"/>
    <w:basedOn w:val="Normal"/>
    <w:pPr>
      <w:spacing w:before="100" w:beforeAutospacing="1" w:after="100" w:afterAutospacing="1"/>
    </w:pPr>
  </w:style>
  <w:style w:type="paragraph" w:customStyle="1" w:styleId="rwcontrolbuttons1">
    <w:name w:val="rwcontrolbuttons1"/>
    <w:basedOn w:val="Normal"/>
    <w:pPr>
      <w:spacing w:before="30"/>
    </w:pPr>
  </w:style>
  <w:style w:type="paragraph" w:customStyle="1" w:styleId="rwicon1">
    <w:name w:val="rwicon1"/>
    <w:basedOn w:val="Normal"/>
    <w:pPr>
      <w:spacing w:before="60"/>
      <w:ind w:right="75"/>
    </w:pPr>
  </w:style>
  <w:style w:type="paragraph" w:customStyle="1" w:styleId="rwdialogpopup1">
    <w:name w:val="rwdialogpopup1"/>
    <w:basedOn w:val="Normal"/>
    <w:pPr>
      <w:spacing w:before="240" w:after="240"/>
      <w:ind w:left="240" w:right="240"/>
    </w:pPr>
    <w:rPr>
      <w:rFonts w:ascii="Segoe UI" w:hAnsi="Segoe UI" w:cs="Segoe UI"/>
      <w:color w:val="000000"/>
      <w:sz w:val="18"/>
      <w:szCs w:val="18"/>
    </w:rPr>
  </w:style>
  <w:style w:type="paragraph" w:customStyle="1" w:styleId="rwpopupbutton1">
    <w:name w:val="rwpopupbutton1"/>
    <w:basedOn w:val="Normal"/>
  </w:style>
  <w:style w:type="paragraph" w:customStyle="1" w:styleId="rwdialogtext1">
    <w:name w:val="rwdialogtext1"/>
    <w:basedOn w:val="Normal"/>
    <w:pPr>
      <w:spacing w:before="100" w:beforeAutospacing="1" w:after="100" w:afterAutospacing="1"/>
    </w:pPr>
  </w:style>
  <w:style w:type="paragraph" w:customStyle="1" w:styleId="rwdialoginput1">
    <w:name w:val="rwdialoginput1"/>
    <w:basedOn w:val="Normal"/>
    <w:pPr>
      <w:spacing w:before="120" w:after="120"/>
    </w:pPr>
    <w:rPr>
      <w:rFonts w:ascii="Segoe UI" w:hAnsi="Segoe UI" w:cs="Segoe UI"/>
      <w:color w:val="000000"/>
      <w:sz w:val="18"/>
      <w:szCs w:val="18"/>
    </w:rPr>
  </w:style>
  <w:style w:type="paragraph" w:customStyle="1" w:styleId="radconfirm1">
    <w:name w:val="radconfirm1"/>
    <w:basedOn w:val="Normal"/>
    <w:pPr>
      <w:spacing w:before="100" w:beforeAutospacing="1" w:after="100" w:afterAutospacing="1"/>
    </w:pPr>
  </w:style>
  <w:style w:type="paragraph" w:customStyle="1" w:styleId="radalert1">
    <w:name w:val="radalert1"/>
    <w:basedOn w:val="Normal"/>
    <w:pPr>
      <w:spacing w:before="100" w:beforeAutospacing="1" w:after="100" w:afterAutospacing="1"/>
    </w:pPr>
  </w:style>
  <w:style w:type="paragraph" w:customStyle="1" w:styleId="radprompt1">
    <w:name w:val="radprompt1"/>
    <w:basedOn w:val="Normal"/>
    <w:pPr>
      <w:spacing w:before="100" w:beforeAutospacing="1" w:after="100" w:afterAutospacing="1"/>
    </w:pPr>
  </w:style>
  <w:style w:type="paragraph" w:customStyle="1" w:styleId="rwpopupbutton2">
    <w:name w:val="rwpopupbutton2"/>
    <w:basedOn w:val="Normal"/>
    <w:pPr>
      <w:spacing w:before="120" w:after="120" w:line="315" w:lineRule="atLeast"/>
      <w:ind w:right="120"/>
    </w:pPr>
    <w:rPr>
      <w:color w:val="000000"/>
    </w:rPr>
  </w:style>
  <w:style w:type="paragraph" w:customStyle="1" w:styleId="rwouterspan1">
    <w:name w:val="rwouterspan1"/>
    <w:basedOn w:val="Normal"/>
    <w:pPr>
      <w:spacing w:before="100" w:beforeAutospacing="1" w:after="100" w:afterAutospacing="1"/>
    </w:pPr>
  </w:style>
  <w:style w:type="paragraph" w:customStyle="1" w:styleId="rwinnerspan1">
    <w:name w:val="rwinnerspan1"/>
    <w:basedOn w:val="Normal"/>
    <w:pPr>
      <w:spacing w:before="100" w:beforeAutospacing="1" w:after="100" w:afterAutospacing="1"/>
    </w:pPr>
  </w:style>
  <w:style w:type="paragraph" w:customStyle="1" w:styleId="rwpopupbutton3">
    <w:name w:val="rwpopupbutton3"/>
    <w:basedOn w:val="Normal"/>
    <w:pPr>
      <w:spacing w:before="120" w:after="120" w:line="315" w:lineRule="atLeast"/>
      <w:ind w:right="120"/>
    </w:pPr>
    <w:rPr>
      <w:color w:val="000000"/>
    </w:rPr>
  </w:style>
  <w:style w:type="paragraph" w:customStyle="1" w:styleId="rwouterspan2">
    <w:name w:val="rwouterspan2"/>
    <w:basedOn w:val="Normal"/>
    <w:pPr>
      <w:spacing w:before="100" w:beforeAutospacing="1" w:after="100" w:afterAutospacing="1"/>
    </w:pPr>
  </w:style>
  <w:style w:type="paragraph" w:customStyle="1" w:styleId="rwinnerspan2">
    <w:name w:val="rwinnerspan2"/>
    <w:basedOn w:val="Normal"/>
    <w:pPr>
      <w:spacing w:before="100" w:beforeAutospacing="1" w:after="100" w:afterAutospacing="1"/>
    </w:pPr>
  </w:style>
  <w:style w:type="paragraph" w:styleId="z-TopofForm">
    <w:name w:val="HTML Top of Form"/>
    <w:basedOn w:val="Normal"/>
    <w:next w:val="Normal"/>
    <w: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rPr>
      <w:rFonts w:ascii="Arial" w:hAnsi="Arial" w:cs="Arial"/>
      <w:vanish/>
      <w:sz w:val="16"/>
      <w:szCs w:val="16"/>
    </w:rPr>
  </w:style>
  <w:style w:type="character" w:styleId="Strong">
    <w:name w:val="Strong"/>
    <w:qFormat/>
    <w:rPr>
      <w:b/>
      <w:bCs/>
    </w:rPr>
  </w:style>
  <w:style w:type="paragraph" w:styleId="z-BottomofForm">
    <w:name w:val="HTML Bottom of Form"/>
    <w:basedOn w:val="Normal"/>
    <w:next w:val="Normal"/>
    <w: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rPr>
      <w:rFonts w:ascii="Arial" w:hAnsi="Arial" w:cs="Arial"/>
      <w:vanish/>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OGEC/docs/Public_Official_Guide/2010-10_PO_Guide_October_Final_Adopted.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regon.gov/OGEC/" TargetMode="External"/><Relationship Id="rId12" Type="http://schemas.openxmlformats.org/officeDocument/2006/relationships/hyperlink" Target="http://www.doj.state.or.us/pdf/public_records_and_meetings_manua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ndru.leg.state.or.us/ors/19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rcweb.sos.state.or.us/rules/OARS_100/OAR_199/199_tofc.html" TargetMode="External"/><Relationship Id="rId4" Type="http://schemas.openxmlformats.org/officeDocument/2006/relationships/webSettings" Target="webSettings.xml"/><Relationship Id="rId9" Type="http://schemas.openxmlformats.org/officeDocument/2006/relationships/hyperlink" Target="http://landru.leg.state.or.us/ors/244.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2014 Update website information</vt:lpstr>
    </vt:vector>
  </TitlesOfParts>
  <Company>State of Oregon - DAS</Company>
  <LinksUpToDate>false</LinksUpToDate>
  <CharactersWithSpaces>6200</CharactersWithSpaces>
  <SharedDoc>false</SharedDoc>
  <HLinks>
    <vt:vector size="36" baseType="variant">
      <vt:variant>
        <vt:i4>7733346</vt:i4>
      </vt:variant>
      <vt:variant>
        <vt:i4>15</vt:i4>
      </vt:variant>
      <vt:variant>
        <vt:i4>0</vt:i4>
      </vt:variant>
      <vt:variant>
        <vt:i4>5</vt:i4>
      </vt:variant>
      <vt:variant>
        <vt:lpwstr>http://www.doj.state.or.us/pdf/public_records_and_meetings_manual.pdf</vt:lpwstr>
      </vt:variant>
      <vt:variant>
        <vt:lpwstr/>
      </vt:variant>
      <vt:variant>
        <vt:i4>6946861</vt:i4>
      </vt:variant>
      <vt:variant>
        <vt:i4>12</vt:i4>
      </vt:variant>
      <vt:variant>
        <vt:i4>0</vt:i4>
      </vt:variant>
      <vt:variant>
        <vt:i4>5</vt:i4>
      </vt:variant>
      <vt:variant>
        <vt:lpwstr>http://landru.leg.state.or.us/ors/192.html</vt:lpwstr>
      </vt:variant>
      <vt:variant>
        <vt:lpwstr/>
      </vt:variant>
      <vt:variant>
        <vt:i4>3145820</vt:i4>
      </vt:variant>
      <vt:variant>
        <vt:i4>9</vt:i4>
      </vt:variant>
      <vt:variant>
        <vt:i4>0</vt:i4>
      </vt:variant>
      <vt:variant>
        <vt:i4>5</vt:i4>
      </vt:variant>
      <vt:variant>
        <vt:lpwstr>http://arcweb.sos.state.or.us/rules/OARS_100/OAR_199/199_tofc.html</vt:lpwstr>
      </vt:variant>
      <vt:variant>
        <vt:lpwstr/>
      </vt:variant>
      <vt:variant>
        <vt:i4>6750248</vt:i4>
      </vt:variant>
      <vt:variant>
        <vt:i4>6</vt:i4>
      </vt:variant>
      <vt:variant>
        <vt:i4>0</vt:i4>
      </vt:variant>
      <vt:variant>
        <vt:i4>5</vt:i4>
      </vt:variant>
      <vt:variant>
        <vt:lpwstr>http://landru.leg.state.or.us/ors/244.html</vt:lpwstr>
      </vt:variant>
      <vt:variant>
        <vt:lpwstr/>
      </vt:variant>
      <vt:variant>
        <vt:i4>1114211</vt:i4>
      </vt:variant>
      <vt:variant>
        <vt:i4>3</vt:i4>
      </vt:variant>
      <vt:variant>
        <vt:i4>0</vt:i4>
      </vt:variant>
      <vt:variant>
        <vt:i4>5</vt:i4>
      </vt:variant>
      <vt:variant>
        <vt:lpwstr>http://www.oregon.gov/OGEC/docs/Public_Official_Guide/2010-10_PO_Guide_October_Final_Adopted.pdf</vt:lpwstr>
      </vt:variant>
      <vt:variant>
        <vt:lpwstr/>
      </vt:variant>
      <vt:variant>
        <vt:i4>2359344</vt:i4>
      </vt:variant>
      <vt:variant>
        <vt:i4>0</vt:i4>
      </vt:variant>
      <vt:variant>
        <vt:i4>0</vt:i4>
      </vt:variant>
      <vt:variant>
        <vt:i4>5</vt:i4>
      </vt:variant>
      <vt:variant>
        <vt:lpwstr>http://www.oregon.gov/OGEC/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Update website information</dc:title>
  <dc:subject/>
  <dc:creator>State of Oregon DAS</dc:creator>
  <cp:keywords/>
  <cp:lastModifiedBy>BobC</cp:lastModifiedBy>
  <cp:revision>2</cp:revision>
  <cp:lastPrinted>2016-03-02T00:24:00Z</cp:lastPrinted>
  <dcterms:created xsi:type="dcterms:W3CDTF">2022-02-12T00:27:00Z</dcterms:created>
  <dcterms:modified xsi:type="dcterms:W3CDTF">2022-02-12T00:27:00Z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ToStateLib">
    <vt:lpwstr>0</vt:lpwstr>
  </property>
  <property fmtid="{D5CDD505-2E9C-101B-9397-08002B2CF9AE}" pid="3" name="Metadata">
    <vt:lpwstr>OGEC, Website, information, training, public official</vt:lpwstr>
  </property>
  <property fmtid="{D5CDD505-2E9C-101B-9397-08002B2CF9AE}" pid="4" name="DocumentLocale">
    <vt:lpwstr>en</vt:lpwstr>
  </property>
  <property fmtid="{D5CDD505-2E9C-101B-9397-08002B2CF9AE}" pid="5" name="RoutingRuleDescription">
    <vt:lpwstr/>
  </property>
  <property fmtid="{D5CDD505-2E9C-101B-9397-08002B2CF9AE}" pid="6" name="RetentionPeriodDate">
    <vt:lpwstr/>
  </property>
</Properties>
</file>